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883"/>
        <w:jc w:val="center"/>
        <w:rPr>
          <w:rFonts w:hint="default" w:ascii="Times New Roman" w:hAnsi="Times New Roman" w:eastAsia="黑体" w:cs="Times New Roman"/>
          <w:b/>
          <w:bCs/>
          <w:color w:val="auto"/>
          <w:sz w:val="44"/>
          <w:szCs w:val="52"/>
        </w:rPr>
      </w:pPr>
    </w:p>
    <w:p>
      <w:pPr>
        <w:ind w:firstLine="883"/>
        <w:jc w:val="center"/>
        <w:rPr>
          <w:rFonts w:hint="default" w:ascii="Times New Roman" w:hAnsi="Times New Roman" w:eastAsia="黑体" w:cs="Times New Roman"/>
          <w:b/>
          <w:bCs/>
          <w:color w:val="auto"/>
          <w:sz w:val="44"/>
          <w:szCs w:val="52"/>
        </w:rPr>
      </w:pPr>
    </w:p>
    <w:p>
      <w:pPr>
        <w:ind w:firstLine="883"/>
        <w:jc w:val="center"/>
        <w:rPr>
          <w:rFonts w:hint="default" w:ascii="Times New Roman" w:hAnsi="Times New Roman" w:eastAsia="黑体" w:cs="Times New Roman"/>
          <w:b/>
          <w:bCs/>
          <w:color w:val="auto"/>
          <w:sz w:val="44"/>
          <w:szCs w:val="52"/>
        </w:rPr>
      </w:pPr>
    </w:p>
    <w:p>
      <w:pPr>
        <w:ind w:firstLine="883"/>
        <w:jc w:val="center"/>
        <w:rPr>
          <w:rFonts w:hint="default" w:ascii="Times New Roman" w:hAnsi="Times New Roman" w:eastAsia="黑体" w:cs="Times New Roman"/>
          <w:b/>
          <w:bCs/>
          <w:color w:val="auto"/>
          <w:sz w:val="44"/>
          <w:szCs w:val="52"/>
        </w:rPr>
      </w:pPr>
    </w:p>
    <w:p>
      <w:pPr>
        <w:ind w:firstLine="0" w:firstLineChars="0"/>
        <w:jc w:val="center"/>
        <w:rPr>
          <w:rFonts w:hint="default" w:ascii="Times New Roman" w:hAnsi="Times New Roman" w:cs="Times New Roman" w:eastAsiaTheme="minorEastAsia"/>
          <w:b/>
          <w:bCs/>
          <w:color w:val="auto"/>
          <w:sz w:val="52"/>
          <w:szCs w:val="72"/>
          <w:lang w:eastAsia="zh-CN"/>
        </w:rPr>
      </w:pPr>
      <w:r>
        <w:rPr>
          <w:rFonts w:hint="default" w:ascii="Times New Roman" w:hAnsi="Times New Roman" w:cs="Times New Roman" w:eastAsiaTheme="minorEastAsia"/>
          <w:b/>
          <w:bCs/>
          <w:color w:val="auto"/>
          <w:sz w:val="52"/>
          <w:szCs w:val="72"/>
          <w:lang w:eastAsia="zh-CN"/>
        </w:rPr>
        <w:t>随州</w:t>
      </w:r>
      <w:r>
        <w:rPr>
          <w:rFonts w:hint="default" w:ascii="Times New Roman" w:hAnsi="Times New Roman" w:cs="Times New Roman" w:eastAsiaTheme="minorEastAsia"/>
          <w:b/>
          <w:bCs/>
          <w:color w:val="auto"/>
          <w:sz w:val="52"/>
          <w:szCs w:val="72"/>
        </w:rPr>
        <w:t>市</w:t>
      </w:r>
      <w:r>
        <w:rPr>
          <w:rFonts w:hint="default" w:ascii="Times New Roman" w:hAnsi="Times New Roman" w:cs="Times New Roman" w:eastAsiaTheme="minorEastAsia"/>
          <w:b/>
          <w:bCs/>
          <w:color w:val="auto"/>
          <w:sz w:val="52"/>
          <w:szCs w:val="72"/>
          <w:lang w:val="en-US" w:eastAsia="zh-CN"/>
        </w:rPr>
        <w:t>2022年</w:t>
      </w:r>
      <w:r>
        <w:rPr>
          <w:rFonts w:hint="default" w:ascii="Times New Roman" w:hAnsi="Times New Roman" w:cs="Times New Roman" w:eastAsiaTheme="minorEastAsia"/>
          <w:b/>
          <w:bCs/>
          <w:color w:val="auto"/>
          <w:sz w:val="52"/>
          <w:szCs w:val="72"/>
          <w:lang w:eastAsia="zh-CN"/>
        </w:rPr>
        <w:t>核技术利用单位</w:t>
      </w:r>
    </w:p>
    <w:p>
      <w:pPr>
        <w:ind w:firstLine="0" w:firstLineChars="0"/>
        <w:jc w:val="center"/>
        <w:rPr>
          <w:rFonts w:hint="default" w:ascii="Times New Roman" w:hAnsi="Times New Roman" w:cs="Times New Roman" w:eastAsiaTheme="minorEastAsia"/>
          <w:b/>
          <w:bCs/>
          <w:color w:val="auto"/>
          <w:sz w:val="72"/>
          <w:szCs w:val="72"/>
          <w:lang w:eastAsia="zh-CN"/>
        </w:rPr>
      </w:pPr>
      <w:r>
        <w:rPr>
          <w:rFonts w:hint="default" w:ascii="Times New Roman" w:hAnsi="Times New Roman" w:cs="Times New Roman" w:eastAsiaTheme="minorEastAsia"/>
          <w:b/>
          <w:bCs/>
          <w:color w:val="auto"/>
          <w:sz w:val="52"/>
          <w:szCs w:val="72"/>
          <w:lang w:eastAsia="zh-CN"/>
        </w:rPr>
        <w:t>监督性监测报告</w:t>
      </w:r>
    </w:p>
    <w:p>
      <w:pPr>
        <w:spacing w:line="480" w:lineRule="auto"/>
        <w:ind w:firstLine="880"/>
        <w:jc w:val="center"/>
        <w:rPr>
          <w:rFonts w:hint="default" w:ascii="Times New Roman" w:hAnsi="Times New Roman" w:eastAsia="楷体" w:cs="Times New Roman"/>
          <w:color w:val="auto"/>
          <w:sz w:val="44"/>
          <w:szCs w:val="52"/>
        </w:rPr>
      </w:pPr>
    </w:p>
    <w:p>
      <w:pPr>
        <w:spacing w:line="480" w:lineRule="auto"/>
        <w:ind w:firstLine="880"/>
        <w:jc w:val="center"/>
        <w:rPr>
          <w:rFonts w:hint="default" w:ascii="Times New Roman" w:hAnsi="Times New Roman" w:eastAsia="楷体" w:cs="Times New Roman"/>
          <w:color w:val="auto"/>
          <w:sz w:val="44"/>
          <w:szCs w:val="52"/>
        </w:rPr>
      </w:pPr>
    </w:p>
    <w:p>
      <w:pPr>
        <w:spacing w:line="480" w:lineRule="auto"/>
        <w:ind w:firstLine="880"/>
        <w:jc w:val="center"/>
        <w:rPr>
          <w:rFonts w:hint="default" w:ascii="Times New Roman" w:hAnsi="Times New Roman" w:eastAsia="楷体" w:cs="Times New Roman"/>
          <w:color w:val="auto"/>
          <w:sz w:val="44"/>
          <w:szCs w:val="52"/>
        </w:rPr>
      </w:pPr>
    </w:p>
    <w:p>
      <w:pPr>
        <w:spacing w:line="480" w:lineRule="auto"/>
        <w:ind w:firstLine="880"/>
        <w:jc w:val="center"/>
        <w:rPr>
          <w:rFonts w:hint="default" w:ascii="Times New Roman" w:hAnsi="Times New Roman" w:eastAsia="楷体" w:cs="Times New Roman"/>
          <w:color w:val="auto"/>
          <w:sz w:val="44"/>
          <w:szCs w:val="52"/>
        </w:rPr>
      </w:pPr>
    </w:p>
    <w:p>
      <w:pPr>
        <w:spacing w:line="480" w:lineRule="auto"/>
        <w:ind w:firstLine="880"/>
        <w:jc w:val="center"/>
        <w:rPr>
          <w:rFonts w:hint="default" w:ascii="Times New Roman" w:hAnsi="Times New Roman" w:eastAsia="楷体" w:cs="Times New Roman"/>
          <w:color w:val="auto"/>
          <w:sz w:val="44"/>
          <w:szCs w:val="52"/>
        </w:rPr>
      </w:pPr>
    </w:p>
    <w:p>
      <w:pPr>
        <w:spacing w:line="480" w:lineRule="auto"/>
        <w:ind w:firstLine="880"/>
        <w:jc w:val="center"/>
        <w:rPr>
          <w:rFonts w:hint="default" w:ascii="Times New Roman" w:hAnsi="Times New Roman" w:eastAsia="楷体" w:cs="Times New Roman"/>
          <w:color w:val="auto"/>
          <w:sz w:val="44"/>
          <w:szCs w:val="52"/>
        </w:rPr>
      </w:pPr>
    </w:p>
    <w:p>
      <w:pPr>
        <w:spacing w:line="480" w:lineRule="auto"/>
        <w:ind w:firstLine="880"/>
        <w:jc w:val="center"/>
        <w:rPr>
          <w:rFonts w:hint="default" w:ascii="Times New Roman" w:hAnsi="Times New Roman" w:eastAsia="楷体" w:cs="Times New Roman"/>
          <w:color w:val="auto"/>
          <w:sz w:val="44"/>
          <w:szCs w:val="52"/>
        </w:rPr>
      </w:pPr>
    </w:p>
    <w:p>
      <w:pPr>
        <w:spacing w:line="480" w:lineRule="auto"/>
        <w:ind w:firstLine="880"/>
        <w:jc w:val="center"/>
        <w:rPr>
          <w:rFonts w:hint="default" w:ascii="Times New Roman" w:hAnsi="Times New Roman" w:eastAsia="楷体" w:cs="Times New Roman"/>
          <w:color w:val="auto"/>
          <w:sz w:val="44"/>
          <w:szCs w:val="52"/>
        </w:rPr>
      </w:pPr>
    </w:p>
    <w:p>
      <w:pPr>
        <w:spacing w:line="480" w:lineRule="auto"/>
        <w:ind w:firstLine="880"/>
        <w:jc w:val="center"/>
        <w:rPr>
          <w:rFonts w:hint="default" w:ascii="Times New Roman" w:hAnsi="Times New Roman" w:eastAsia="楷体" w:cs="Times New Roman"/>
          <w:color w:val="auto"/>
          <w:sz w:val="44"/>
          <w:szCs w:val="52"/>
        </w:rPr>
      </w:pPr>
    </w:p>
    <w:p>
      <w:pPr>
        <w:spacing w:line="480" w:lineRule="auto"/>
        <w:ind w:firstLine="880"/>
        <w:jc w:val="center"/>
        <w:rPr>
          <w:rFonts w:hint="default" w:ascii="Times New Roman" w:hAnsi="Times New Roman" w:eastAsia="楷体" w:cs="Times New Roman"/>
          <w:color w:val="auto"/>
          <w:sz w:val="44"/>
          <w:szCs w:val="52"/>
        </w:rPr>
      </w:pPr>
    </w:p>
    <w:p>
      <w:pPr>
        <w:spacing w:line="480" w:lineRule="auto"/>
        <w:ind w:firstLine="880"/>
        <w:jc w:val="center"/>
        <w:rPr>
          <w:rFonts w:hint="default" w:ascii="Times New Roman" w:hAnsi="Times New Roman" w:eastAsia="楷体" w:cs="Times New Roman"/>
          <w:color w:val="auto"/>
          <w:sz w:val="44"/>
          <w:szCs w:val="52"/>
        </w:rPr>
      </w:pPr>
    </w:p>
    <w:p>
      <w:pPr>
        <w:spacing w:line="480" w:lineRule="auto"/>
        <w:ind w:firstLine="883"/>
        <w:jc w:val="center"/>
        <w:rPr>
          <w:rFonts w:hint="default" w:ascii="Times New Roman" w:hAnsi="Times New Roman" w:cs="Times New Roman" w:eastAsiaTheme="minorEastAsia"/>
          <w:b/>
          <w:color w:val="auto"/>
          <w:sz w:val="44"/>
          <w:szCs w:val="52"/>
        </w:rPr>
      </w:pPr>
    </w:p>
    <w:p>
      <w:pPr>
        <w:spacing w:line="480" w:lineRule="auto"/>
        <w:ind w:firstLine="0" w:firstLineChars="0"/>
        <w:jc w:val="center"/>
        <w:rPr>
          <w:rFonts w:hint="default" w:ascii="Times New Roman" w:hAnsi="Times New Roman" w:cs="Times New Roman" w:eastAsiaTheme="minorEastAsia"/>
          <w:b/>
          <w:color w:val="auto"/>
          <w:sz w:val="32"/>
          <w:szCs w:val="52"/>
          <w:lang w:eastAsia="zh-CN"/>
        </w:rPr>
      </w:pPr>
      <w:r>
        <w:rPr>
          <w:rFonts w:hint="default" w:ascii="Times New Roman" w:hAnsi="Times New Roman" w:cs="Times New Roman" w:eastAsiaTheme="minorEastAsia"/>
          <w:b/>
          <w:color w:val="auto"/>
          <w:sz w:val="32"/>
          <w:szCs w:val="52"/>
          <w:lang w:eastAsia="zh-CN"/>
        </w:rPr>
        <w:t>随州</w:t>
      </w:r>
      <w:r>
        <w:rPr>
          <w:rFonts w:hint="default" w:ascii="Times New Roman" w:hAnsi="Times New Roman" w:cs="Times New Roman" w:eastAsiaTheme="minorEastAsia"/>
          <w:b/>
          <w:color w:val="auto"/>
          <w:sz w:val="32"/>
          <w:szCs w:val="52"/>
        </w:rPr>
        <w:t>市</w:t>
      </w:r>
      <w:r>
        <w:rPr>
          <w:rFonts w:hint="default" w:ascii="Times New Roman" w:hAnsi="Times New Roman" w:cs="Times New Roman" w:eastAsiaTheme="minorEastAsia"/>
          <w:b/>
          <w:color w:val="auto"/>
          <w:sz w:val="32"/>
          <w:szCs w:val="52"/>
          <w:lang w:eastAsia="zh-CN"/>
        </w:rPr>
        <w:t>生态环境局</w:t>
      </w:r>
    </w:p>
    <w:p>
      <w:pPr>
        <w:spacing w:line="480" w:lineRule="auto"/>
        <w:ind w:firstLine="0" w:firstLineChars="0"/>
        <w:jc w:val="center"/>
        <w:rPr>
          <w:rFonts w:hint="default" w:ascii="Times New Roman" w:hAnsi="Times New Roman" w:cs="Times New Roman" w:eastAsiaTheme="minorEastAsia"/>
          <w:b/>
          <w:color w:val="auto"/>
          <w:sz w:val="32"/>
          <w:szCs w:val="52"/>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pPr>
      <w:r>
        <w:rPr>
          <w:rFonts w:hint="default" w:ascii="Times New Roman" w:hAnsi="Times New Roman" w:cs="Times New Roman" w:eastAsiaTheme="minorEastAsia"/>
          <w:b/>
          <w:color w:val="auto"/>
          <w:sz w:val="32"/>
          <w:szCs w:val="52"/>
        </w:rPr>
        <w:t>202</w:t>
      </w:r>
      <w:r>
        <w:rPr>
          <w:rFonts w:hint="default" w:ascii="Times New Roman" w:hAnsi="Times New Roman" w:cs="Times New Roman" w:eastAsiaTheme="minorEastAsia"/>
          <w:b/>
          <w:color w:val="auto"/>
          <w:sz w:val="32"/>
          <w:szCs w:val="52"/>
          <w:lang w:val="en-US" w:eastAsia="zh-CN"/>
        </w:rPr>
        <w:t>3</w:t>
      </w:r>
      <w:r>
        <w:rPr>
          <w:rFonts w:hint="default" w:ascii="Times New Roman" w:hAnsi="Times New Roman" w:cs="Times New Roman" w:eastAsiaTheme="minorEastAsia"/>
          <w:b/>
          <w:color w:val="auto"/>
          <w:sz w:val="32"/>
          <w:szCs w:val="52"/>
        </w:rPr>
        <w:t>年1月</w:t>
      </w:r>
    </w:p>
    <w:sdt>
      <w:sdtPr>
        <w:rPr>
          <w:rFonts w:hint="default" w:ascii="Times New Roman" w:hAnsi="Times New Roman" w:eastAsia="仿宋" w:cs="Times New Roman"/>
          <w:b w:val="0"/>
          <w:bCs w:val="0"/>
          <w:color w:val="auto"/>
          <w:kern w:val="2"/>
          <w:szCs w:val="24"/>
          <w:lang w:val="zh-CN"/>
        </w:rPr>
        <w:id w:val="-216513473"/>
        <w:docPartObj>
          <w:docPartGallery w:val="Table of Contents"/>
          <w:docPartUnique/>
        </w:docPartObj>
      </w:sdtPr>
      <w:sdtEndPr>
        <w:rPr>
          <w:rFonts w:hint="default" w:ascii="Times New Roman" w:hAnsi="Times New Roman" w:eastAsia="仿宋" w:cs="Times New Roman"/>
          <w:b w:val="0"/>
          <w:bCs w:val="0"/>
          <w:color w:val="auto"/>
          <w:kern w:val="2"/>
          <w:szCs w:val="24"/>
          <w:lang w:val="zh-CN"/>
        </w:rPr>
      </w:sdtEndPr>
      <w:sdtContent>
        <w:p>
          <w:pPr>
            <w:pStyle w:val="19"/>
            <w:jc w:val="center"/>
            <w:rPr>
              <w:rFonts w:hint="default" w:ascii="Times New Roman" w:hAnsi="Times New Roman" w:eastAsia="黑体" w:cs="Times New Roman"/>
              <w:color w:val="auto"/>
              <w:sz w:val="32"/>
            </w:rPr>
          </w:pPr>
          <w:r>
            <w:rPr>
              <w:rFonts w:hint="default" w:ascii="Times New Roman" w:hAnsi="Times New Roman" w:eastAsia="黑体" w:cs="Times New Roman"/>
              <w:color w:val="auto"/>
              <w:sz w:val="32"/>
              <w:lang w:val="zh-CN"/>
            </w:rPr>
            <w:t>目  录</w:t>
          </w:r>
        </w:p>
        <w:p>
          <w:pPr>
            <w:pStyle w:val="10"/>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rFonts w:hint="default" w:ascii="Times New Roman" w:hAnsi="Times New Roman" w:cs="Times New Roman"/>
              <w:color w:val="auto"/>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TOC \o "1-3" \h \z \u </w:instrText>
          </w:r>
          <w:r>
            <w:rPr>
              <w:rFonts w:hint="default" w:ascii="Times New Roman" w:hAnsi="Times New Roman" w:cs="Times New Roman"/>
              <w:color w:val="auto"/>
            </w:rPr>
            <w:fldChar w:fldCharType="separate"/>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_Toc3421 </w:instrText>
          </w:r>
          <w:r>
            <w:rPr>
              <w:rFonts w:hint="default" w:ascii="Times New Roman" w:hAnsi="Times New Roman" w:cs="Times New Roman"/>
              <w:color w:val="auto"/>
            </w:rPr>
            <w:fldChar w:fldCharType="separate"/>
          </w:r>
          <w:r>
            <w:rPr>
              <w:rFonts w:hint="default" w:ascii="Times New Roman" w:hAnsi="Times New Roman" w:cs="Times New Roman"/>
              <w:color w:val="auto"/>
            </w:rPr>
            <w:t>1 项目概况</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_Toc3421 \h </w:instrText>
          </w:r>
          <w:r>
            <w:rPr>
              <w:rFonts w:hint="default" w:ascii="Times New Roman" w:hAnsi="Times New Roman" w:cs="Times New Roman"/>
              <w:color w:val="auto"/>
            </w:rPr>
            <w:fldChar w:fldCharType="separate"/>
          </w:r>
          <w:r>
            <w:rPr>
              <w:rFonts w:hint="default" w:ascii="Times New Roman" w:hAnsi="Times New Roman" w:cs="Times New Roman"/>
              <w:color w:val="auto"/>
            </w:rPr>
            <w:t>4</w:t>
          </w:r>
          <w:r>
            <w:rPr>
              <w:rFonts w:hint="default" w:ascii="Times New Roman" w:hAnsi="Times New Roman" w:cs="Times New Roman"/>
              <w:color w:val="auto"/>
            </w:rPr>
            <w:fldChar w:fldCharType="end"/>
          </w:r>
          <w:r>
            <w:rPr>
              <w:rFonts w:hint="default" w:ascii="Times New Roman" w:hAnsi="Times New Roman" w:cs="Times New Roman"/>
              <w:color w:val="auto"/>
            </w:rPr>
            <w:fldChar w:fldCharType="end"/>
          </w:r>
        </w:p>
        <w:p>
          <w:pPr>
            <w:pStyle w:val="11"/>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rFonts w:hint="default" w:ascii="Times New Roman" w:hAnsi="Times New Roman" w:cs="Times New Roman"/>
              <w:color w:val="auto"/>
            </w:rPr>
          </w:pPr>
          <w:r>
            <w:rPr>
              <w:rFonts w:hint="default" w:ascii="Times New Roman" w:hAnsi="Times New Roman" w:cs="Times New Roman"/>
              <w:bCs/>
              <w:color w:val="auto"/>
              <w:lang w:val="zh-CN"/>
            </w:rPr>
            <w:fldChar w:fldCharType="begin"/>
          </w:r>
          <w:r>
            <w:rPr>
              <w:rFonts w:hint="default" w:ascii="Times New Roman" w:hAnsi="Times New Roman" w:cs="Times New Roman"/>
              <w:bCs/>
              <w:color w:val="auto"/>
              <w:lang w:val="zh-CN"/>
            </w:rPr>
            <w:instrText xml:space="preserve"> HYPERLINK \l _Toc27511 </w:instrText>
          </w:r>
          <w:r>
            <w:rPr>
              <w:rFonts w:hint="default" w:ascii="Times New Roman" w:hAnsi="Times New Roman" w:cs="Times New Roman"/>
              <w:bCs/>
              <w:color w:val="auto"/>
              <w:lang w:val="zh-CN"/>
            </w:rPr>
            <w:fldChar w:fldCharType="separate"/>
          </w:r>
          <w:r>
            <w:rPr>
              <w:rFonts w:hint="default" w:ascii="Times New Roman" w:hAnsi="Times New Roman" w:cs="Times New Roman"/>
              <w:color w:val="auto"/>
            </w:rPr>
            <w:t>1.1项目</w:t>
          </w:r>
          <w:r>
            <w:rPr>
              <w:rFonts w:hint="default" w:ascii="Times New Roman" w:hAnsi="Times New Roman" w:cs="Times New Roman"/>
              <w:color w:val="auto"/>
              <w:lang w:eastAsia="zh-CN"/>
            </w:rPr>
            <w:t>依据</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_Toc27511 \h </w:instrText>
          </w:r>
          <w:r>
            <w:rPr>
              <w:rFonts w:hint="default" w:ascii="Times New Roman" w:hAnsi="Times New Roman" w:cs="Times New Roman"/>
              <w:color w:val="auto"/>
            </w:rPr>
            <w:fldChar w:fldCharType="separate"/>
          </w:r>
          <w:r>
            <w:rPr>
              <w:rFonts w:hint="default" w:ascii="Times New Roman" w:hAnsi="Times New Roman" w:cs="Times New Roman"/>
              <w:color w:val="auto"/>
            </w:rPr>
            <w:t>4</w:t>
          </w:r>
          <w:r>
            <w:rPr>
              <w:rFonts w:hint="default" w:ascii="Times New Roman" w:hAnsi="Times New Roman" w:cs="Times New Roman"/>
              <w:color w:val="auto"/>
            </w:rPr>
            <w:fldChar w:fldCharType="end"/>
          </w:r>
          <w:r>
            <w:rPr>
              <w:rFonts w:hint="default" w:ascii="Times New Roman" w:hAnsi="Times New Roman" w:cs="Times New Roman"/>
              <w:bCs/>
              <w:color w:val="auto"/>
              <w:lang w:val="zh-CN"/>
            </w:rPr>
            <w:fldChar w:fldCharType="end"/>
          </w:r>
        </w:p>
        <w:p>
          <w:pPr>
            <w:pStyle w:val="11"/>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rFonts w:hint="default" w:ascii="Times New Roman" w:hAnsi="Times New Roman" w:cs="Times New Roman"/>
              <w:color w:val="auto"/>
            </w:rPr>
          </w:pPr>
          <w:r>
            <w:rPr>
              <w:rFonts w:hint="default" w:ascii="Times New Roman" w:hAnsi="Times New Roman" w:cs="Times New Roman"/>
              <w:bCs/>
              <w:color w:val="auto"/>
              <w:lang w:val="zh-CN"/>
            </w:rPr>
            <w:fldChar w:fldCharType="begin"/>
          </w:r>
          <w:r>
            <w:rPr>
              <w:rFonts w:hint="default" w:ascii="Times New Roman" w:hAnsi="Times New Roman" w:cs="Times New Roman"/>
              <w:bCs/>
              <w:color w:val="auto"/>
              <w:lang w:val="zh-CN"/>
            </w:rPr>
            <w:instrText xml:space="preserve"> HYPERLINK \l _Toc29623 </w:instrText>
          </w:r>
          <w:r>
            <w:rPr>
              <w:rFonts w:hint="default" w:ascii="Times New Roman" w:hAnsi="Times New Roman" w:cs="Times New Roman"/>
              <w:bCs/>
              <w:color w:val="auto"/>
              <w:lang w:val="zh-CN"/>
            </w:rPr>
            <w:fldChar w:fldCharType="separate"/>
          </w:r>
          <w:r>
            <w:rPr>
              <w:rFonts w:hint="default" w:ascii="Times New Roman" w:hAnsi="Times New Roman" w:cs="Times New Roman"/>
              <w:color w:val="auto"/>
            </w:rPr>
            <w:t>1.2</w:t>
          </w:r>
          <w:r>
            <w:rPr>
              <w:rFonts w:hint="default" w:ascii="Times New Roman" w:hAnsi="Times New Roman" w:cs="Times New Roman"/>
              <w:color w:val="auto"/>
              <w:lang w:eastAsia="zh-CN"/>
            </w:rPr>
            <w:t>项目内容</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_Toc29623 \h </w:instrText>
          </w:r>
          <w:r>
            <w:rPr>
              <w:rFonts w:hint="default" w:ascii="Times New Roman" w:hAnsi="Times New Roman" w:cs="Times New Roman"/>
              <w:color w:val="auto"/>
            </w:rPr>
            <w:fldChar w:fldCharType="separate"/>
          </w:r>
          <w:r>
            <w:rPr>
              <w:rFonts w:hint="default" w:ascii="Times New Roman" w:hAnsi="Times New Roman" w:cs="Times New Roman"/>
              <w:color w:val="auto"/>
            </w:rPr>
            <w:t>4</w:t>
          </w:r>
          <w:r>
            <w:rPr>
              <w:rFonts w:hint="default" w:ascii="Times New Roman" w:hAnsi="Times New Roman" w:cs="Times New Roman"/>
              <w:color w:val="auto"/>
            </w:rPr>
            <w:fldChar w:fldCharType="end"/>
          </w:r>
          <w:r>
            <w:rPr>
              <w:rFonts w:hint="default" w:ascii="Times New Roman" w:hAnsi="Times New Roman" w:cs="Times New Roman"/>
              <w:bCs/>
              <w:color w:val="auto"/>
              <w:lang w:val="zh-CN"/>
            </w:rPr>
            <w:fldChar w:fldCharType="end"/>
          </w:r>
        </w:p>
        <w:p>
          <w:pPr>
            <w:pStyle w:val="6"/>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rFonts w:hint="default" w:ascii="Times New Roman" w:hAnsi="Times New Roman" w:cs="Times New Roman"/>
              <w:color w:val="auto"/>
            </w:rPr>
          </w:pPr>
          <w:r>
            <w:rPr>
              <w:rFonts w:hint="default" w:ascii="Times New Roman" w:hAnsi="Times New Roman" w:cs="Times New Roman"/>
              <w:bCs/>
              <w:color w:val="auto"/>
              <w:lang w:val="zh-CN"/>
            </w:rPr>
            <w:fldChar w:fldCharType="begin"/>
          </w:r>
          <w:r>
            <w:rPr>
              <w:rFonts w:hint="default" w:ascii="Times New Roman" w:hAnsi="Times New Roman" w:cs="Times New Roman"/>
              <w:bCs/>
              <w:color w:val="auto"/>
              <w:lang w:val="zh-CN"/>
            </w:rPr>
            <w:instrText xml:space="preserve"> HYPERLINK \l _Toc5754 </w:instrText>
          </w:r>
          <w:r>
            <w:rPr>
              <w:rFonts w:hint="default" w:ascii="Times New Roman" w:hAnsi="Times New Roman" w:cs="Times New Roman"/>
              <w:bCs/>
              <w:color w:val="auto"/>
              <w:lang w:val="zh-CN"/>
            </w:rPr>
            <w:fldChar w:fldCharType="separate"/>
          </w:r>
          <w:r>
            <w:rPr>
              <w:rFonts w:hint="default" w:ascii="Times New Roman" w:hAnsi="Times New Roman" w:cs="Times New Roman"/>
              <w:color w:val="auto"/>
            </w:rPr>
            <w:t>1.2.1密封放射源</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_Toc5754 \h </w:instrText>
          </w:r>
          <w:r>
            <w:rPr>
              <w:rFonts w:hint="default" w:ascii="Times New Roman" w:hAnsi="Times New Roman" w:cs="Times New Roman"/>
              <w:color w:val="auto"/>
            </w:rPr>
            <w:fldChar w:fldCharType="separate"/>
          </w:r>
          <w:r>
            <w:rPr>
              <w:rFonts w:hint="default" w:ascii="Times New Roman" w:hAnsi="Times New Roman" w:cs="Times New Roman"/>
              <w:color w:val="auto"/>
            </w:rPr>
            <w:t>5</w:t>
          </w:r>
          <w:r>
            <w:rPr>
              <w:rFonts w:hint="default" w:ascii="Times New Roman" w:hAnsi="Times New Roman" w:cs="Times New Roman"/>
              <w:color w:val="auto"/>
            </w:rPr>
            <w:fldChar w:fldCharType="end"/>
          </w:r>
          <w:r>
            <w:rPr>
              <w:rFonts w:hint="default" w:ascii="Times New Roman" w:hAnsi="Times New Roman" w:cs="Times New Roman"/>
              <w:bCs/>
              <w:color w:val="auto"/>
              <w:lang w:val="zh-CN"/>
            </w:rPr>
            <w:fldChar w:fldCharType="end"/>
          </w:r>
        </w:p>
        <w:p>
          <w:pPr>
            <w:pStyle w:val="6"/>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rFonts w:hint="default" w:ascii="Times New Roman" w:hAnsi="Times New Roman" w:cs="Times New Roman"/>
              <w:color w:val="auto"/>
            </w:rPr>
          </w:pPr>
          <w:r>
            <w:rPr>
              <w:rFonts w:hint="default" w:ascii="Times New Roman" w:hAnsi="Times New Roman" w:cs="Times New Roman"/>
              <w:bCs/>
              <w:color w:val="auto"/>
              <w:lang w:val="zh-CN"/>
            </w:rPr>
            <w:fldChar w:fldCharType="begin"/>
          </w:r>
          <w:r>
            <w:rPr>
              <w:rFonts w:hint="default" w:ascii="Times New Roman" w:hAnsi="Times New Roman" w:cs="Times New Roman"/>
              <w:bCs/>
              <w:color w:val="auto"/>
              <w:lang w:val="zh-CN"/>
            </w:rPr>
            <w:instrText xml:space="preserve"> HYPERLINK \l _Toc21016 </w:instrText>
          </w:r>
          <w:r>
            <w:rPr>
              <w:rFonts w:hint="default" w:ascii="Times New Roman" w:hAnsi="Times New Roman" w:cs="Times New Roman"/>
              <w:bCs/>
              <w:color w:val="auto"/>
              <w:lang w:val="zh-CN"/>
            </w:rPr>
            <w:fldChar w:fldCharType="separate"/>
          </w:r>
          <w:r>
            <w:rPr>
              <w:rFonts w:hint="default" w:ascii="Times New Roman" w:hAnsi="Times New Roman" w:cs="Times New Roman"/>
              <w:color w:val="auto"/>
            </w:rPr>
            <w:t>1.2.2射线装置</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_Toc21016 \h </w:instrText>
          </w:r>
          <w:r>
            <w:rPr>
              <w:rFonts w:hint="default" w:ascii="Times New Roman" w:hAnsi="Times New Roman" w:cs="Times New Roman"/>
              <w:color w:val="auto"/>
            </w:rPr>
            <w:fldChar w:fldCharType="separate"/>
          </w:r>
          <w:r>
            <w:rPr>
              <w:rFonts w:hint="default" w:ascii="Times New Roman" w:hAnsi="Times New Roman" w:cs="Times New Roman"/>
              <w:color w:val="auto"/>
            </w:rPr>
            <w:t>6</w:t>
          </w:r>
          <w:r>
            <w:rPr>
              <w:rFonts w:hint="default" w:ascii="Times New Roman" w:hAnsi="Times New Roman" w:cs="Times New Roman"/>
              <w:color w:val="auto"/>
            </w:rPr>
            <w:fldChar w:fldCharType="end"/>
          </w:r>
          <w:r>
            <w:rPr>
              <w:rFonts w:hint="default" w:ascii="Times New Roman" w:hAnsi="Times New Roman" w:cs="Times New Roman"/>
              <w:bCs/>
              <w:color w:val="auto"/>
              <w:lang w:val="zh-CN"/>
            </w:rPr>
            <w:fldChar w:fldCharType="end"/>
          </w:r>
        </w:p>
        <w:p>
          <w:pPr>
            <w:pStyle w:val="6"/>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rFonts w:hint="default" w:ascii="Times New Roman" w:hAnsi="Times New Roman" w:cs="Times New Roman"/>
              <w:color w:val="auto"/>
            </w:rPr>
          </w:pPr>
          <w:r>
            <w:rPr>
              <w:rFonts w:hint="default" w:ascii="Times New Roman" w:hAnsi="Times New Roman" w:cs="Times New Roman"/>
              <w:bCs/>
              <w:color w:val="auto"/>
              <w:lang w:val="zh-CN"/>
            </w:rPr>
            <w:fldChar w:fldCharType="begin"/>
          </w:r>
          <w:r>
            <w:rPr>
              <w:rFonts w:hint="default" w:ascii="Times New Roman" w:hAnsi="Times New Roman" w:cs="Times New Roman"/>
              <w:bCs/>
              <w:color w:val="auto"/>
              <w:lang w:val="zh-CN"/>
            </w:rPr>
            <w:instrText xml:space="preserve"> HYPERLINK \l _Toc28728 </w:instrText>
          </w:r>
          <w:r>
            <w:rPr>
              <w:rFonts w:hint="default" w:ascii="Times New Roman" w:hAnsi="Times New Roman" w:cs="Times New Roman"/>
              <w:bCs/>
              <w:color w:val="auto"/>
              <w:lang w:val="zh-CN"/>
            </w:rPr>
            <w:fldChar w:fldCharType="separate"/>
          </w:r>
          <w:r>
            <w:rPr>
              <w:rFonts w:hint="default" w:ascii="Times New Roman" w:hAnsi="Times New Roman" w:cs="Times New Roman"/>
              <w:color w:val="auto"/>
            </w:rPr>
            <w:t>1.2.3通讯基站</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_Toc28728 \h </w:instrText>
          </w:r>
          <w:r>
            <w:rPr>
              <w:rFonts w:hint="default" w:ascii="Times New Roman" w:hAnsi="Times New Roman" w:cs="Times New Roman"/>
              <w:color w:val="auto"/>
            </w:rPr>
            <w:fldChar w:fldCharType="separate"/>
          </w:r>
          <w:r>
            <w:rPr>
              <w:rFonts w:hint="default" w:ascii="Times New Roman" w:hAnsi="Times New Roman" w:cs="Times New Roman"/>
              <w:color w:val="auto"/>
            </w:rPr>
            <w:t>6</w:t>
          </w:r>
          <w:r>
            <w:rPr>
              <w:rFonts w:hint="default" w:ascii="Times New Roman" w:hAnsi="Times New Roman" w:cs="Times New Roman"/>
              <w:color w:val="auto"/>
            </w:rPr>
            <w:fldChar w:fldCharType="end"/>
          </w:r>
          <w:r>
            <w:rPr>
              <w:rFonts w:hint="default" w:ascii="Times New Roman" w:hAnsi="Times New Roman" w:cs="Times New Roman"/>
              <w:bCs/>
              <w:color w:val="auto"/>
              <w:lang w:val="zh-CN"/>
            </w:rPr>
            <w:fldChar w:fldCharType="end"/>
          </w:r>
        </w:p>
        <w:p>
          <w:pPr>
            <w:pStyle w:val="11"/>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rFonts w:hint="default" w:ascii="Times New Roman" w:hAnsi="Times New Roman" w:cs="Times New Roman"/>
              <w:color w:val="auto"/>
            </w:rPr>
          </w:pPr>
          <w:r>
            <w:rPr>
              <w:rFonts w:hint="default" w:ascii="Times New Roman" w:hAnsi="Times New Roman" w:cs="Times New Roman"/>
              <w:bCs/>
              <w:color w:val="auto"/>
              <w:lang w:val="zh-CN"/>
            </w:rPr>
            <w:fldChar w:fldCharType="begin"/>
          </w:r>
          <w:r>
            <w:rPr>
              <w:rFonts w:hint="default" w:ascii="Times New Roman" w:hAnsi="Times New Roman" w:cs="Times New Roman"/>
              <w:bCs/>
              <w:color w:val="auto"/>
              <w:lang w:val="zh-CN"/>
            </w:rPr>
            <w:instrText xml:space="preserve"> HYPERLINK \l _Toc11484 </w:instrText>
          </w:r>
          <w:r>
            <w:rPr>
              <w:rFonts w:hint="default" w:ascii="Times New Roman" w:hAnsi="Times New Roman" w:cs="Times New Roman"/>
              <w:bCs/>
              <w:color w:val="auto"/>
              <w:lang w:val="zh-CN"/>
            </w:rPr>
            <w:fldChar w:fldCharType="separate"/>
          </w:r>
          <w:r>
            <w:rPr>
              <w:rFonts w:hint="default" w:ascii="Times New Roman" w:hAnsi="Times New Roman" w:cs="Times New Roman"/>
              <w:color w:val="auto"/>
            </w:rPr>
            <w:t>1.3监测单位</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_Toc11484 \h </w:instrText>
          </w:r>
          <w:r>
            <w:rPr>
              <w:rFonts w:hint="default" w:ascii="Times New Roman" w:hAnsi="Times New Roman" w:cs="Times New Roman"/>
              <w:color w:val="auto"/>
            </w:rPr>
            <w:fldChar w:fldCharType="separate"/>
          </w:r>
          <w:r>
            <w:rPr>
              <w:rFonts w:hint="default" w:ascii="Times New Roman" w:hAnsi="Times New Roman" w:cs="Times New Roman"/>
              <w:color w:val="auto"/>
            </w:rPr>
            <w:t>7</w:t>
          </w:r>
          <w:r>
            <w:rPr>
              <w:rFonts w:hint="default" w:ascii="Times New Roman" w:hAnsi="Times New Roman" w:cs="Times New Roman"/>
              <w:color w:val="auto"/>
            </w:rPr>
            <w:fldChar w:fldCharType="end"/>
          </w:r>
          <w:r>
            <w:rPr>
              <w:rFonts w:hint="default" w:ascii="Times New Roman" w:hAnsi="Times New Roman" w:cs="Times New Roman"/>
              <w:bCs/>
              <w:color w:val="auto"/>
              <w:lang w:val="zh-CN"/>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rFonts w:hint="default" w:ascii="Times New Roman" w:hAnsi="Times New Roman" w:cs="Times New Roman"/>
              <w:color w:val="auto"/>
            </w:rPr>
          </w:pPr>
          <w:r>
            <w:rPr>
              <w:rFonts w:hint="default" w:ascii="Times New Roman" w:hAnsi="Times New Roman" w:cs="Times New Roman"/>
              <w:bCs/>
              <w:color w:val="auto"/>
              <w:lang w:val="zh-CN"/>
            </w:rPr>
            <w:fldChar w:fldCharType="begin"/>
          </w:r>
          <w:r>
            <w:rPr>
              <w:rFonts w:hint="default" w:ascii="Times New Roman" w:hAnsi="Times New Roman" w:cs="Times New Roman"/>
              <w:bCs/>
              <w:color w:val="auto"/>
              <w:lang w:val="zh-CN"/>
            </w:rPr>
            <w:instrText xml:space="preserve"> HYPERLINK \l _Toc21526 </w:instrText>
          </w:r>
          <w:r>
            <w:rPr>
              <w:rFonts w:hint="default" w:ascii="Times New Roman" w:hAnsi="Times New Roman" w:cs="Times New Roman"/>
              <w:bCs/>
              <w:color w:val="auto"/>
              <w:lang w:val="zh-CN"/>
            </w:rPr>
            <w:fldChar w:fldCharType="separate"/>
          </w:r>
          <w:r>
            <w:rPr>
              <w:rFonts w:hint="default" w:ascii="Times New Roman" w:hAnsi="Times New Roman" w:cs="Times New Roman"/>
              <w:color w:val="auto"/>
            </w:rPr>
            <w:t>2 监测方法</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_Toc21526 \h </w:instrText>
          </w:r>
          <w:r>
            <w:rPr>
              <w:rFonts w:hint="default" w:ascii="Times New Roman" w:hAnsi="Times New Roman" w:cs="Times New Roman"/>
              <w:color w:val="auto"/>
            </w:rPr>
            <w:fldChar w:fldCharType="separate"/>
          </w:r>
          <w:r>
            <w:rPr>
              <w:rFonts w:hint="default" w:ascii="Times New Roman" w:hAnsi="Times New Roman" w:cs="Times New Roman"/>
              <w:color w:val="auto"/>
            </w:rPr>
            <w:t>8</w:t>
          </w:r>
          <w:r>
            <w:rPr>
              <w:rFonts w:hint="default" w:ascii="Times New Roman" w:hAnsi="Times New Roman" w:cs="Times New Roman"/>
              <w:color w:val="auto"/>
            </w:rPr>
            <w:fldChar w:fldCharType="end"/>
          </w:r>
          <w:r>
            <w:rPr>
              <w:rFonts w:hint="default" w:ascii="Times New Roman" w:hAnsi="Times New Roman" w:cs="Times New Roman"/>
              <w:bCs/>
              <w:color w:val="auto"/>
              <w:lang w:val="zh-CN"/>
            </w:rPr>
            <w:fldChar w:fldCharType="end"/>
          </w:r>
        </w:p>
        <w:p>
          <w:pPr>
            <w:pStyle w:val="11"/>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rFonts w:hint="default" w:ascii="Times New Roman" w:hAnsi="Times New Roman" w:cs="Times New Roman"/>
              <w:color w:val="auto"/>
            </w:rPr>
          </w:pPr>
          <w:r>
            <w:rPr>
              <w:rFonts w:hint="default" w:ascii="Times New Roman" w:hAnsi="Times New Roman" w:cs="Times New Roman"/>
              <w:bCs/>
              <w:color w:val="auto"/>
              <w:lang w:val="zh-CN"/>
            </w:rPr>
            <w:fldChar w:fldCharType="begin"/>
          </w:r>
          <w:r>
            <w:rPr>
              <w:rFonts w:hint="default" w:ascii="Times New Roman" w:hAnsi="Times New Roman" w:cs="Times New Roman"/>
              <w:bCs/>
              <w:color w:val="auto"/>
              <w:lang w:val="zh-CN"/>
            </w:rPr>
            <w:instrText xml:space="preserve"> HYPERLINK \l _Toc8290 </w:instrText>
          </w:r>
          <w:r>
            <w:rPr>
              <w:rFonts w:hint="default" w:ascii="Times New Roman" w:hAnsi="Times New Roman" w:cs="Times New Roman"/>
              <w:bCs/>
              <w:color w:val="auto"/>
              <w:lang w:val="zh-CN"/>
            </w:rPr>
            <w:fldChar w:fldCharType="separate"/>
          </w:r>
          <w:r>
            <w:rPr>
              <w:rFonts w:hint="default" w:ascii="Times New Roman" w:hAnsi="Times New Roman" w:cs="Times New Roman"/>
              <w:color w:val="auto"/>
            </w:rPr>
            <w:t>2.1监测方法标准</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_Toc8290 \h </w:instrText>
          </w:r>
          <w:r>
            <w:rPr>
              <w:rFonts w:hint="default" w:ascii="Times New Roman" w:hAnsi="Times New Roman" w:cs="Times New Roman"/>
              <w:color w:val="auto"/>
            </w:rPr>
            <w:fldChar w:fldCharType="separate"/>
          </w:r>
          <w:r>
            <w:rPr>
              <w:rFonts w:hint="default" w:ascii="Times New Roman" w:hAnsi="Times New Roman" w:cs="Times New Roman"/>
              <w:color w:val="auto"/>
            </w:rPr>
            <w:t>8</w:t>
          </w:r>
          <w:r>
            <w:rPr>
              <w:rFonts w:hint="default" w:ascii="Times New Roman" w:hAnsi="Times New Roman" w:cs="Times New Roman"/>
              <w:color w:val="auto"/>
            </w:rPr>
            <w:fldChar w:fldCharType="end"/>
          </w:r>
          <w:r>
            <w:rPr>
              <w:rFonts w:hint="default" w:ascii="Times New Roman" w:hAnsi="Times New Roman" w:cs="Times New Roman"/>
              <w:bCs/>
              <w:color w:val="auto"/>
              <w:lang w:val="zh-CN"/>
            </w:rPr>
            <w:fldChar w:fldCharType="end"/>
          </w:r>
        </w:p>
        <w:p>
          <w:pPr>
            <w:pStyle w:val="11"/>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rFonts w:hint="default" w:ascii="Times New Roman" w:hAnsi="Times New Roman" w:cs="Times New Roman"/>
              <w:color w:val="auto"/>
            </w:rPr>
          </w:pPr>
          <w:r>
            <w:rPr>
              <w:rFonts w:hint="default" w:ascii="Times New Roman" w:hAnsi="Times New Roman" w:cs="Times New Roman"/>
              <w:bCs/>
              <w:color w:val="auto"/>
              <w:lang w:val="zh-CN"/>
            </w:rPr>
            <w:fldChar w:fldCharType="begin"/>
          </w:r>
          <w:r>
            <w:rPr>
              <w:rFonts w:hint="default" w:ascii="Times New Roman" w:hAnsi="Times New Roman" w:cs="Times New Roman"/>
              <w:bCs/>
              <w:color w:val="auto"/>
              <w:lang w:val="zh-CN"/>
            </w:rPr>
            <w:instrText xml:space="preserve"> HYPERLINK \l _Toc10564 </w:instrText>
          </w:r>
          <w:r>
            <w:rPr>
              <w:rFonts w:hint="default" w:ascii="Times New Roman" w:hAnsi="Times New Roman" w:cs="Times New Roman"/>
              <w:bCs/>
              <w:color w:val="auto"/>
              <w:lang w:val="zh-CN"/>
            </w:rPr>
            <w:fldChar w:fldCharType="separate"/>
          </w:r>
          <w:r>
            <w:rPr>
              <w:rFonts w:hint="default" w:ascii="Times New Roman" w:hAnsi="Times New Roman" w:cs="Times New Roman"/>
              <w:color w:val="auto"/>
            </w:rPr>
            <w:t>2.2监测点位</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_Toc10564 \h </w:instrText>
          </w:r>
          <w:r>
            <w:rPr>
              <w:rFonts w:hint="default" w:ascii="Times New Roman" w:hAnsi="Times New Roman" w:cs="Times New Roman"/>
              <w:color w:val="auto"/>
            </w:rPr>
            <w:fldChar w:fldCharType="separate"/>
          </w:r>
          <w:r>
            <w:rPr>
              <w:rFonts w:hint="default" w:ascii="Times New Roman" w:hAnsi="Times New Roman" w:cs="Times New Roman"/>
              <w:color w:val="auto"/>
            </w:rPr>
            <w:t>8</w:t>
          </w:r>
          <w:r>
            <w:rPr>
              <w:rFonts w:hint="default" w:ascii="Times New Roman" w:hAnsi="Times New Roman" w:cs="Times New Roman"/>
              <w:color w:val="auto"/>
            </w:rPr>
            <w:fldChar w:fldCharType="end"/>
          </w:r>
          <w:r>
            <w:rPr>
              <w:rFonts w:hint="default" w:ascii="Times New Roman" w:hAnsi="Times New Roman" w:cs="Times New Roman"/>
              <w:bCs/>
              <w:color w:val="auto"/>
              <w:lang w:val="zh-CN"/>
            </w:rPr>
            <w:fldChar w:fldCharType="end"/>
          </w:r>
        </w:p>
        <w:p>
          <w:pPr>
            <w:pStyle w:val="6"/>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rFonts w:hint="default" w:ascii="Times New Roman" w:hAnsi="Times New Roman" w:cs="Times New Roman"/>
              <w:color w:val="auto"/>
            </w:rPr>
          </w:pPr>
          <w:r>
            <w:rPr>
              <w:rFonts w:hint="default" w:ascii="Times New Roman" w:hAnsi="Times New Roman" w:cs="Times New Roman"/>
              <w:bCs/>
              <w:color w:val="auto"/>
              <w:lang w:val="zh-CN"/>
            </w:rPr>
            <w:fldChar w:fldCharType="begin"/>
          </w:r>
          <w:r>
            <w:rPr>
              <w:rFonts w:hint="default" w:ascii="Times New Roman" w:hAnsi="Times New Roman" w:cs="Times New Roman"/>
              <w:bCs/>
              <w:color w:val="auto"/>
              <w:lang w:val="zh-CN"/>
            </w:rPr>
            <w:instrText xml:space="preserve"> HYPERLINK \l _Toc27199 </w:instrText>
          </w:r>
          <w:r>
            <w:rPr>
              <w:rFonts w:hint="default" w:ascii="Times New Roman" w:hAnsi="Times New Roman" w:cs="Times New Roman"/>
              <w:bCs/>
              <w:color w:val="auto"/>
              <w:lang w:val="zh-CN"/>
            </w:rPr>
            <w:fldChar w:fldCharType="separate"/>
          </w:r>
          <w:r>
            <w:rPr>
              <w:rFonts w:hint="default" w:ascii="Times New Roman" w:hAnsi="Times New Roman" w:cs="Times New Roman"/>
              <w:color w:val="auto"/>
            </w:rPr>
            <w:t>2.1.1密封放射源</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_Toc27199 \h </w:instrText>
          </w:r>
          <w:r>
            <w:rPr>
              <w:rFonts w:hint="default" w:ascii="Times New Roman" w:hAnsi="Times New Roman" w:cs="Times New Roman"/>
              <w:color w:val="auto"/>
            </w:rPr>
            <w:fldChar w:fldCharType="separate"/>
          </w:r>
          <w:r>
            <w:rPr>
              <w:rFonts w:hint="default" w:ascii="Times New Roman" w:hAnsi="Times New Roman" w:cs="Times New Roman"/>
              <w:color w:val="auto"/>
            </w:rPr>
            <w:t>8</w:t>
          </w:r>
          <w:r>
            <w:rPr>
              <w:rFonts w:hint="default" w:ascii="Times New Roman" w:hAnsi="Times New Roman" w:cs="Times New Roman"/>
              <w:color w:val="auto"/>
            </w:rPr>
            <w:fldChar w:fldCharType="end"/>
          </w:r>
          <w:r>
            <w:rPr>
              <w:rFonts w:hint="default" w:ascii="Times New Roman" w:hAnsi="Times New Roman" w:cs="Times New Roman"/>
              <w:bCs/>
              <w:color w:val="auto"/>
              <w:lang w:val="zh-CN"/>
            </w:rPr>
            <w:fldChar w:fldCharType="end"/>
          </w:r>
        </w:p>
        <w:p>
          <w:pPr>
            <w:pStyle w:val="6"/>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rFonts w:hint="default" w:ascii="Times New Roman" w:hAnsi="Times New Roman" w:cs="Times New Roman"/>
              <w:color w:val="auto"/>
            </w:rPr>
          </w:pPr>
          <w:r>
            <w:rPr>
              <w:rFonts w:hint="default" w:ascii="Times New Roman" w:hAnsi="Times New Roman" w:cs="Times New Roman"/>
              <w:bCs/>
              <w:color w:val="auto"/>
              <w:lang w:val="zh-CN"/>
            </w:rPr>
            <w:fldChar w:fldCharType="begin"/>
          </w:r>
          <w:r>
            <w:rPr>
              <w:rFonts w:hint="default" w:ascii="Times New Roman" w:hAnsi="Times New Roman" w:cs="Times New Roman"/>
              <w:bCs/>
              <w:color w:val="auto"/>
              <w:lang w:val="zh-CN"/>
            </w:rPr>
            <w:instrText xml:space="preserve"> HYPERLINK \l _Toc26007 </w:instrText>
          </w:r>
          <w:r>
            <w:rPr>
              <w:rFonts w:hint="default" w:ascii="Times New Roman" w:hAnsi="Times New Roman" w:cs="Times New Roman"/>
              <w:bCs/>
              <w:color w:val="auto"/>
              <w:lang w:val="zh-CN"/>
            </w:rPr>
            <w:fldChar w:fldCharType="separate"/>
          </w:r>
          <w:r>
            <w:rPr>
              <w:rFonts w:hint="default" w:ascii="Times New Roman" w:hAnsi="Times New Roman" w:cs="Times New Roman"/>
              <w:color w:val="auto"/>
            </w:rPr>
            <w:t>2.2.2工业探伤射线装置</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_Toc26007 \h </w:instrText>
          </w:r>
          <w:r>
            <w:rPr>
              <w:rFonts w:hint="default" w:ascii="Times New Roman" w:hAnsi="Times New Roman" w:cs="Times New Roman"/>
              <w:color w:val="auto"/>
            </w:rPr>
            <w:fldChar w:fldCharType="separate"/>
          </w:r>
          <w:r>
            <w:rPr>
              <w:rFonts w:hint="default" w:ascii="Times New Roman" w:hAnsi="Times New Roman" w:cs="Times New Roman"/>
              <w:color w:val="auto"/>
            </w:rPr>
            <w:t>8</w:t>
          </w:r>
          <w:r>
            <w:rPr>
              <w:rFonts w:hint="default" w:ascii="Times New Roman" w:hAnsi="Times New Roman" w:cs="Times New Roman"/>
              <w:color w:val="auto"/>
            </w:rPr>
            <w:fldChar w:fldCharType="end"/>
          </w:r>
          <w:r>
            <w:rPr>
              <w:rFonts w:hint="default" w:ascii="Times New Roman" w:hAnsi="Times New Roman" w:cs="Times New Roman"/>
              <w:bCs/>
              <w:color w:val="auto"/>
              <w:lang w:val="zh-CN"/>
            </w:rPr>
            <w:fldChar w:fldCharType="end"/>
          </w:r>
        </w:p>
        <w:p>
          <w:pPr>
            <w:pStyle w:val="6"/>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rFonts w:hint="default" w:ascii="Times New Roman" w:hAnsi="Times New Roman" w:cs="Times New Roman"/>
              <w:color w:val="auto"/>
            </w:rPr>
          </w:pPr>
          <w:r>
            <w:rPr>
              <w:rFonts w:hint="default" w:ascii="Times New Roman" w:hAnsi="Times New Roman" w:cs="Times New Roman"/>
              <w:bCs/>
              <w:color w:val="auto"/>
              <w:lang w:val="zh-CN"/>
            </w:rPr>
            <w:fldChar w:fldCharType="begin"/>
          </w:r>
          <w:r>
            <w:rPr>
              <w:rFonts w:hint="default" w:ascii="Times New Roman" w:hAnsi="Times New Roman" w:cs="Times New Roman"/>
              <w:bCs/>
              <w:color w:val="auto"/>
              <w:lang w:val="zh-CN"/>
            </w:rPr>
            <w:instrText xml:space="preserve"> HYPERLINK \l _Toc1318 </w:instrText>
          </w:r>
          <w:r>
            <w:rPr>
              <w:rFonts w:hint="default" w:ascii="Times New Roman" w:hAnsi="Times New Roman" w:cs="Times New Roman"/>
              <w:bCs/>
              <w:color w:val="auto"/>
              <w:lang w:val="zh-CN"/>
            </w:rPr>
            <w:fldChar w:fldCharType="separate"/>
          </w:r>
          <w:r>
            <w:rPr>
              <w:rFonts w:hint="default" w:ascii="Times New Roman" w:hAnsi="Times New Roman" w:cs="Times New Roman"/>
              <w:color w:val="auto"/>
            </w:rPr>
            <w:t>2.2.3医用射线装置</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_Toc1318 \h </w:instrText>
          </w:r>
          <w:r>
            <w:rPr>
              <w:rFonts w:hint="default" w:ascii="Times New Roman" w:hAnsi="Times New Roman" w:cs="Times New Roman"/>
              <w:color w:val="auto"/>
            </w:rPr>
            <w:fldChar w:fldCharType="separate"/>
          </w:r>
          <w:r>
            <w:rPr>
              <w:rFonts w:hint="default" w:ascii="Times New Roman" w:hAnsi="Times New Roman" w:cs="Times New Roman"/>
              <w:color w:val="auto"/>
            </w:rPr>
            <w:t>9</w:t>
          </w:r>
          <w:r>
            <w:rPr>
              <w:rFonts w:hint="default" w:ascii="Times New Roman" w:hAnsi="Times New Roman" w:cs="Times New Roman"/>
              <w:color w:val="auto"/>
            </w:rPr>
            <w:fldChar w:fldCharType="end"/>
          </w:r>
          <w:r>
            <w:rPr>
              <w:rFonts w:hint="default" w:ascii="Times New Roman" w:hAnsi="Times New Roman" w:cs="Times New Roman"/>
              <w:bCs/>
              <w:color w:val="auto"/>
              <w:lang w:val="zh-CN"/>
            </w:rPr>
            <w:fldChar w:fldCharType="end"/>
          </w:r>
        </w:p>
        <w:p>
          <w:pPr>
            <w:pStyle w:val="6"/>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rFonts w:hint="default" w:ascii="Times New Roman" w:hAnsi="Times New Roman" w:cs="Times New Roman"/>
              <w:color w:val="auto"/>
            </w:rPr>
          </w:pPr>
          <w:r>
            <w:rPr>
              <w:rFonts w:hint="default" w:ascii="Times New Roman" w:hAnsi="Times New Roman" w:cs="Times New Roman"/>
              <w:bCs/>
              <w:color w:val="auto"/>
              <w:lang w:val="zh-CN"/>
            </w:rPr>
            <w:fldChar w:fldCharType="begin"/>
          </w:r>
          <w:r>
            <w:rPr>
              <w:rFonts w:hint="default" w:ascii="Times New Roman" w:hAnsi="Times New Roman" w:cs="Times New Roman"/>
              <w:bCs/>
              <w:color w:val="auto"/>
              <w:lang w:val="zh-CN"/>
            </w:rPr>
            <w:instrText xml:space="preserve"> HYPERLINK \l _Toc19555 </w:instrText>
          </w:r>
          <w:r>
            <w:rPr>
              <w:rFonts w:hint="default" w:ascii="Times New Roman" w:hAnsi="Times New Roman" w:cs="Times New Roman"/>
              <w:bCs/>
              <w:color w:val="auto"/>
              <w:lang w:val="zh-CN"/>
            </w:rPr>
            <w:fldChar w:fldCharType="separate"/>
          </w:r>
          <w:r>
            <w:rPr>
              <w:rFonts w:hint="default" w:ascii="Times New Roman" w:hAnsi="Times New Roman" w:cs="Times New Roman"/>
              <w:color w:val="auto"/>
            </w:rPr>
            <w:t>2.2.</w:t>
          </w:r>
          <w:r>
            <w:rPr>
              <w:rFonts w:hint="default" w:ascii="Times New Roman" w:hAnsi="Times New Roman" w:cs="Times New Roman"/>
              <w:color w:val="auto"/>
              <w:lang w:val="en-US" w:eastAsia="zh-CN"/>
            </w:rPr>
            <w:t>4</w:t>
          </w:r>
          <w:r>
            <w:rPr>
              <w:rFonts w:hint="default" w:ascii="Times New Roman" w:hAnsi="Times New Roman" w:cs="Times New Roman"/>
              <w:color w:val="auto"/>
            </w:rPr>
            <w:t>通讯基站</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_Toc19555 \h </w:instrText>
          </w:r>
          <w:r>
            <w:rPr>
              <w:rFonts w:hint="default" w:ascii="Times New Roman" w:hAnsi="Times New Roman" w:cs="Times New Roman"/>
              <w:color w:val="auto"/>
            </w:rPr>
            <w:fldChar w:fldCharType="separate"/>
          </w:r>
          <w:r>
            <w:rPr>
              <w:rFonts w:hint="default" w:ascii="Times New Roman" w:hAnsi="Times New Roman" w:cs="Times New Roman"/>
              <w:color w:val="auto"/>
            </w:rPr>
            <w:t>9</w:t>
          </w:r>
          <w:r>
            <w:rPr>
              <w:rFonts w:hint="default" w:ascii="Times New Roman" w:hAnsi="Times New Roman" w:cs="Times New Roman"/>
              <w:color w:val="auto"/>
            </w:rPr>
            <w:fldChar w:fldCharType="end"/>
          </w:r>
          <w:r>
            <w:rPr>
              <w:rFonts w:hint="default" w:ascii="Times New Roman" w:hAnsi="Times New Roman" w:cs="Times New Roman"/>
              <w:bCs/>
              <w:color w:val="auto"/>
              <w:lang w:val="zh-CN"/>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rFonts w:hint="default" w:ascii="Times New Roman" w:hAnsi="Times New Roman" w:cs="Times New Roman"/>
              <w:color w:val="auto"/>
            </w:rPr>
          </w:pPr>
          <w:r>
            <w:rPr>
              <w:rFonts w:hint="default" w:ascii="Times New Roman" w:hAnsi="Times New Roman" w:cs="Times New Roman"/>
              <w:bCs/>
              <w:color w:val="auto"/>
              <w:lang w:val="zh-CN"/>
            </w:rPr>
            <w:fldChar w:fldCharType="begin"/>
          </w:r>
          <w:r>
            <w:rPr>
              <w:rFonts w:hint="default" w:ascii="Times New Roman" w:hAnsi="Times New Roman" w:cs="Times New Roman"/>
              <w:bCs/>
              <w:color w:val="auto"/>
              <w:lang w:val="zh-CN"/>
            </w:rPr>
            <w:instrText xml:space="preserve"> HYPERLINK \l _Toc13532 </w:instrText>
          </w:r>
          <w:r>
            <w:rPr>
              <w:rFonts w:hint="default" w:ascii="Times New Roman" w:hAnsi="Times New Roman" w:cs="Times New Roman"/>
              <w:bCs/>
              <w:color w:val="auto"/>
              <w:lang w:val="zh-CN"/>
            </w:rPr>
            <w:fldChar w:fldCharType="separate"/>
          </w:r>
          <w:r>
            <w:rPr>
              <w:rFonts w:hint="default" w:ascii="Times New Roman" w:hAnsi="Times New Roman" w:cs="Times New Roman"/>
              <w:color w:val="auto"/>
            </w:rPr>
            <w:t>3 监测仪器</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_Toc13532 \h </w:instrText>
          </w:r>
          <w:r>
            <w:rPr>
              <w:rFonts w:hint="default" w:ascii="Times New Roman" w:hAnsi="Times New Roman" w:cs="Times New Roman"/>
              <w:color w:val="auto"/>
            </w:rPr>
            <w:fldChar w:fldCharType="separate"/>
          </w:r>
          <w:r>
            <w:rPr>
              <w:rFonts w:hint="default" w:ascii="Times New Roman" w:hAnsi="Times New Roman" w:cs="Times New Roman"/>
              <w:color w:val="auto"/>
            </w:rPr>
            <w:t>11</w:t>
          </w:r>
          <w:r>
            <w:rPr>
              <w:rFonts w:hint="default" w:ascii="Times New Roman" w:hAnsi="Times New Roman" w:cs="Times New Roman"/>
              <w:color w:val="auto"/>
            </w:rPr>
            <w:fldChar w:fldCharType="end"/>
          </w:r>
          <w:r>
            <w:rPr>
              <w:rFonts w:hint="default" w:ascii="Times New Roman" w:hAnsi="Times New Roman" w:cs="Times New Roman"/>
              <w:bCs/>
              <w:color w:val="auto"/>
              <w:lang w:val="zh-CN"/>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rFonts w:hint="default" w:ascii="Times New Roman" w:hAnsi="Times New Roman" w:cs="Times New Roman"/>
              <w:color w:val="auto"/>
            </w:rPr>
          </w:pPr>
          <w:r>
            <w:rPr>
              <w:rFonts w:hint="default" w:ascii="Times New Roman" w:hAnsi="Times New Roman" w:cs="Times New Roman"/>
              <w:bCs/>
              <w:color w:val="auto"/>
              <w:lang w:val="zh-CN"/>
            </w:rPr>
            <w:fldChar w:fldCharType="begin"/>
          </w:r>
          <w:r>
            <w:rPr>
              <w:rFonts w:hint="default" w:ascii="Times New Roman" w:hAnsi="Times New Roman" w:cs="Times New Roman"/>
              <w:bCs/>
              <w:color w:val="auto"/>
              <w:lang w:val="zh-CN"/>
            </w:rPr>
            <w:instrText xml:space="preserve"> HYPERLINK \l _Toc28949 </w:instrText>
          </w:r>
          <w:r>
            <w:rPr>
              <w:rFonts w:hint="default" w:ascii="Times New Roman" w:hAnsi="Times New Roman" w:cs="Times New Roman"/>
              <w:bCs/>
              <w:color w:val="auto"/>
              <w:lang w:val="zh-CN"/>
            </w:rPr>
            <w:fldChar w:fldCharType="separate"/>
          </w:r>
          <w:r>
            <w:rPr>
              <w:rFonts w:hint="default" w:ascii="Times New Roman" w:hAnsi="Times New Roman" w:cs="Times New Roman"/>
              <w:color w:val="auto"/>
            </w:rPr>
            <w:t>4 质量控制</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_Toc28949 \h </w:instrText>
          </w:r>
          <w:r>
            <w:rPr>
              <w:rFonts w:hint="default" w:ascii="Times New Roman" w:hAnsi="Times New Roman" w:cs="Times New Roman"/>
              <w:color w:val="auto"/>
            </w:rPr>
            <w:fldChar w:fldCharType="separate"/>
          </w:r>
          <w:r>
            <w:rPr>
              <w:rFonts w:hint="default" w:ascii="Times New Roman" w:hAnsi="Times New Roman" w:cs="Times New Roman"/>
              <w:color w:val="auto"/>
            </w:rPr>
            <w:t>12</w:t>
          </w:r>
          <w:r>
            <w:rPr>
              <w:rFonts w:hint="default" w:ascii="Times New Roman" w:hAnsi="Times New Roman" w:cs="Times New Roman"/>
              <w:color w:val="auto"/>
            </w:rPr>
            <w:fldChar w:fldCharType="end"/>
          </w:r>
          <w:r>
            <w:rPr>
              <w:rFonts w:hint="default" w:ascii="Times New Roman" w:hAnsi="Times New Roman" w:cs="Times New Roman"/>
              <w:bCs/>
              <w:color w:val="auto"/>
              <w:lang w:val="zh-CN"/>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rFonts w:hint="default" w:ascii="Times New Roman" w:hAnsi="Times New Roman" w:cs="Times New Roman"/>
              <w:color w:val="auto"/>
            </w:rPr>
          </w:pPr>
          <w:r>
            <w:rPr>
              <w:rFonts w:hint="default" w:ascii="Times New Roman" w:hAnsi="Times New Roman" w:cs="Times New Roman"/>
              <w:bCs/>
              <w:color w:val="auto"/>
              <w:lang w:val="zh-CN"/>
            </w:rPr>
            <w:fldChar w:fldCharType="begin"/>
          </w:r>
          <w:r>
            <w:rPr>
              <w:rFonts w:hint="default" w:ascii="Times New Roman" w:hAnsi="Times New Roman" w:cs="Times New Roman"/>
              <w:bCs/>
              <w:color w:val="auto"/>
              <w:lang w:val="zh-CN"/>
            </w:rPr>
            <w:instrText xml:space="preserve"> HYPERLINK \l _Toc2796 </w:instrText>
          </w:r>
          <w:r>
            <w:rPr>
              <w:rFonts w:hint="default" w:ascii="Times New Roman" w:hAnsi="Times New Roman" w:cs="Times New Roman"/>
              <w:bCs/>
              <w:color w:val="auto"/>
              <w:lang w:val="zh-CN"/>
            </w:rPr>
            <w:fldChar w:fldCharType="separate"/>
          </w:r>
          <w:r>
            <w:rPr>
              <w:rFonts w:hint="default" w:ascii="Times New Roman" w:hAnsi="Times New Roman" w:cs="Times New Roman"/>
              <w:color w:val="auto"/>
            </w:rPr>
            <w:t>5 评价标准</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_Toc2796 \h </w:instrText>
          </w:r>
          <w:r>
            <w:rPr>
              <w:rFonts w:hint="default" w:ascii="Times New Roman" w:hAnsi="Times New Roman" w:cs="Times New Roman"/>
              <w:color w:val="auto"/>
            </w:rPr>
            <w:fldChar w:fldCharType="separate"/>
          </w:r>
          <w:r>
            <w:rPr>
              <w:rFonts w:hint="default" w:ascii="Times New Roman" w:hAnsi="Times New Roman" w:cs="Times New Roman"/>
              <w:color w:val="auto"/>
            </w:rPr>
            <w:t>13</w:t>
          </w:r>
          <w:r>
            <w:rPr>
              <w:rFonts w:hint="default" w:ascii="Times New Roman" w:hAnsi="Times New Roman" w:cs="Times New Roman"/>
              <w:color w:val="auto"/>
            </w:rPr>
            <w:fldChar w:fldCharType="end"/>
          </w:r>
          <w:r>
            <w:rPr>
              <w:rFonts w:hint="default" w:ascii="Times New Roman" w:hAnsi="Times New Roman" w:cs="Times New Roman"/>
              <w:bCs/>
              <w:color w:val="auto"/>
              <w:lang w:val="zh-CN"/>
            </w:rPr>
            <w:fldChar w:fldCharType="end"/>
          </w:r>
        </w:p>
        <w:p>
          <w:pPr>
            <w:pStyle w:val="11"/>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rFonts w:hint="default" w:ascii="Times New Roman" w:hAnsi="Times New Roman" w:cs="Times New Roman"/>
              <w:color w:val="auto"/>
            </w:rPr>
          </w:pPr>
          <w:r>
            <w:rPr>
              <w:rFonts w:hint="default" w:ascii="Times New Roman" w:hAnsi="Times New Roman" w:cs="Times New Roman"/>
              <w:bCs/>
              <w:color w:val="auto"/>
              <w:lang w:val="zh-CN"/>
            </w:rPr>
            <w:fldChar w:fldCharType="begin"/>
          </w:r>
          <w:r>
            <w:rPr>
              <w:rFonts w:hint="default" w:ascii="Times New Roman" w:hAnsi="Times New Roman" w:cs="Times New Roman"/>
              <w:bCs/>
              <w:color w:val="auto"/>
              <w:lang w:val="zh-CN"/>
            </w:rPr>
            <w:instrText xml:space="preserve"> HYPERLINK \l _Toc916 </w:instrText>
          </w:r>
          <w:r>
            <w:rPr>
              <w:rFonts w:hint="default" w:ascii="Times New Roman" w:hAnsi="Times New Roman" w:cs="Times New Roman"/>
              <w:bCs/>
              <w:color w:val="auto"/>
              <w:lang w:val="zh-CN"/>
            </w:rPr>
            <w:fldChar w:fldCharType="separate"/>
          </w:r>
          <w:r>
            <w:rPr>
              <w:rFonts w:hint="default" w:ascii="Times New Roman" w:hAnsi="Times New Roman" w:cs="Times New Roman"/>
              <w:color w:val="auto"/>
            </w:rPr>
            <w:t>5.1密封放射源</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_Toc916 \h </w:instrText>
          </w:r>
          <w:r>
            <w:rPr>
              <w:rFonts w:hint="default" w:ascii="Times New Roman" w:hAnsi="Times New Roman" w:cs="Times New Roman"/>
              <w:color w:val="auto"/>
            </w:rPr>
            <w:fldChar w:fldCharType="separate"/>
          </w:r>
          <w:r>
            <w:rPr>
              <w:rFonts w:hint="default" w:ascii="Times New Roman" w:hAnsi="Times New Roman" w:cs="Times New Roman"/>
              <w:color w:val="auto"/>
            </w:rPr>
            <w:t>13</w:t>
          </w:r>
          <w:r>
            <w:rPr>
              <w:rFonts w:hint="default" w:ascii="Times New Roman" w:hAnsi="Times New Roman" w:cs="Times New Roman"/>
              <w:color w:val="auto"/>
            </w:rPr>
            <w:fldChar w:fldCharType="end"/>
          </w:r>
          <w:r>
            <w:rPr>
              <w:rFonts w:hint="default" w:ascii="Times New Roman" w:hAnsi="Times New Roman" w:cs="Times New Roman"/>
              <w:bCs/>
              <w:color w:val="auto"/>
              <w:lang w:val="zh-CN"/>
            </w:rPr>
            <w:fldChar w:fldCharType="end"/>
          </w:r>
        </w:p>
        <w:p>
          <w:pPr>
            <w:pStyle w:val="11"/>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rFonts w:hint="default" w:ascii="Times New Roman" w:hAnsi="Times New Roman" w:cs="Times New Roman"/>
              <w:color w:val="auto"/>
            </w:rPr>
          </w:pPr>
          <w:r>
            <w:rPr>
              <w:rFonts w:hint="default" w:ascii="Times New Roman" w:hAnsi="Times New Roman" w:cs="Times New Roman"/>
              <w:bCs/>
              <w:color w:val="auto"/>
              <w:lang w:val="zh-CN"/>
            </w:rPr>
            <w:fldChar w:fldCharType="begin"/>
          </w:r>
          <w:r>
            <w:rPr>
              <w:rFonts w:hint="default" w:ascii="Times New Roman" w:hAnsi="Times New Roman" w:cs="Times New Roman"/>
              <w:bCs/>
              <w:color w:val="auto"/>
              <w:lang w:val="zh-CN"/>
            </w:rPr>
            <w:instrText xml:space="preserve"> HYPERLINK \l _Toc29186 </w:instrText>
          </w:r>
          <w:r>
            <w:rPr>
              <w:rFonts w:hint="default" w:ascii="Times New Roman" w:hAnsi="Times New Roman" w:cs="Times New Roman"/>
              <w:bCs/>
              <w:color w:val="auto"/>
              <w:lang w:val="zh-CN"/>
            </w:rPr>
            <w:fldChar w:fldCharType="separate"/>
          </w:r>
          <w:r>
            <w:rPr>
              <w:rFonts w:hint="default" w:ascii="Times New Roman" w:hAnsi="Times New Roman" w:cs="Times New Roman"/>
              <w:color w:val="auto"/>
            </w:rPr>
            <w:t>5.2工业探伤射线装置</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_Toc29186 \h </w:instrText>
          </w:r>
          <w:r>
            <w:rPr>
              <w:rFonts w:hint="default" w:ascii="Times New Roman" w:hAnsi="Times New Roman" w:cs="Times New Roman"/>
              <w:color w:val="auto"/>
            </w:rPr>
            <w:fldChar w:fldCharType="separate"/>
          </w:r>
          <w:r>
            <w:rPr>
              <w:rFonts w:hint="default" w:ascii="Times New Roman" w:hAnsi="Times New Roman" w:cs="Times New Roman"/>
              <w:color w:val="auto"/>
            </w:rPr>
            <w:t>13</w:t>
          </w:r>
          <w:r>
            <w:rPr>
              <w:rFonts w:hint="default" w:ascii="Times New Roman" w:hAnsi="Times New Roman" w:cs="Times New Roman"/>
              <w:color w:val="auto"/>
            </w:rPr>
            <w:fldChar w:fldCharType="end"/>
          </w:r>
          <w:r>
            <w:rPr>
              <w:rFonts w:hint="default" w:ascii="Times New Roman" w:hAnsi="Times New Roman" w:cs="Times New Roman"/>
              <w:bCs/>
              <w:color w:val="auto"/>
              <w:lang w:val="zh-CN"/>
            </w:rPr>
            <w:fldChar w:fldCharType="end"/>
          </w:r>
        </w:p>
        <w:p>
          <w:pPr>
            <w:pStyle w:val="11"/>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rFonts w:hint="default" w:ascii="Times New Roman" w:hAnsi="Times New Roman" w:cs="Times New Roman"/>
              <w:color w:val="auto"/>
            </w:rPr>
          </w:pPr>
          <w:r>
            <w:rPr>
              <w:rFonts w:hint="default" w:ascii="Times New Roman" w:hAnsi="Times New Roman" w:cs="Times New Roman"/>
              <w:bCs/>
              <w:color w:val="auto"/>
              <w:lang w:val="zh-CN"/>
            </w:rPr>
            <w:fldChar w:fldCharType="begin"/>
          </w:r>
          <w:r>
            <w:rPr>
              <w:rFonts w:hint="default" w:ascii="Times New Roman" w:hAnsi="Times New Roman" w:cs="Times New Roman"/>
              <w:bCs/>
              <w:color w:val="auto"/>
              <w:lang w:val="zh-CN"/>
            </w:rPr>
            <w:instrText xml:space="preserve"> HYPERLINK \l _Toc23733 </w:instrText>
          </w:r>
          <w:r>
            <w:rPr>
              <w:rFonts w:hint="default" w:ascii="Times New Roman" w:hAnsi="Times New Roman" w:cs="Times New Roman"/>
              <w:bCs/>
              <w:color w:val="auto"/>
              <w:lang w:val="zh-CN"/>
            </w:rPr>
            <w:fldChar w:fldCharType="separate"/>
          </w:r>
          <w:r>
            <w:rPr>
              <w:rFonts w:hint="default" w:ascii="Times New Roman" w:hAnsi="Times New Roman" w:cs="Times New Roman"/>
              <w:color w:val="auto"/>
            </w:rPr>
            <w:t>5.3医用射线装置</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_Toc23733 \h </w:instrText>
          </w:r>
          <w:r>
            <w:rPr>
              <w:rFonts w:hint="default" w:ascii="Times New Roman" w:hAnsi="Times New Roman" w:cs="Times New Roman"/>
              <w:color w:val="auto"/>
            </w:rPr>
            <w:fldChar w:fldCharType="separate"/>
          </w:r>
          <w:r>
            <w:rPr>
              <w:rFonts w:hint="default" w:ascii="Times New Roman" w:hAnsi="Times New Roman" w:cs="Times New Roman"/>
              <w:color w:val="auto"/>
            </w:rPr>
            <w:t>13</w:t>
          </w:r>
          <w:r>
            <w:rPr>
              <w:rFonts w:hint="default" w:ascii="Times New Roman" w:hAnsi="Times New Roman" w:cs="Times New Roman"/>
              <w:color w:val="auto"/>
            </w:rPr>
            <w:fldChar w:fldCharType="end"/>
          </w:r>
          <w:r>
            <w:rPr>
              <w:rFonts w:hint="default" w:ascii="Times New Roman" w:hAnsi="Times New Roman" w:cs="Times New Roman"/>
              <w:bCs/>
              <w:color w:val="auto"/>
              <w:lang w:val="zh-CN"/>
            </w:rPr>
            <w:fldChar w:fldCharType="end"/>
          </w:r>
        </w:p>
        <w:p>
          <w:pPr>
            <w:pStyle w:val="11"/>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rFonts w:hint="default" w:ascii="Times New Roman" w:hAnsi="Times New Roman" w:cs="Times New Roman"/>
              <w:color w:val="auto"/>
            </w:rPr>
          </w:pPr>
          <w:r>
            <w:rPr>
              <w:rFonts w:hint="default" w:ascii="Times New Roman" w:hAnsi="Times New Roman" w:cs="Times New Roman"/>
              <w:bCs/>
              <w:color w:val="auto"/>
              <w:lang w:val="zh-CN"/>
            </w:rPr>
            <w:fldChar w:fldCharType="begin"/>
          </w:r>
          <w:r>
            <w:rPr>
              <w:rFonts w:hint="default" w:ascii="Times New Roman" w:hAnsi="Times New Roman" w:cs="Times New Roman"/>
              <w:bCs/>
              <w:color w:val="auto"/>
              <w:lang w:val="zh-CN"/>
            </w:rPr>
            <w:instrText xml:space="preserve"> HYPERLINK \l _Toc32019 </w:instrText>
          </w:r>
          <w:r>
            <w:rPr>
              <w:rFonts w:hint="default" w:ascii="Times New Roman" w:hAnsi="Times New Roman" w:cs="Times New Roman"/>
              <w:bCs/>
              <w:color w:val="auto"/>
              <w:lang w:val="zh-CN"/>
            </w:rPr>
            <w:fldChar w:fldCharType="separate"/>
          </w:r>
          <w:r>
            <w:rPr>
              <w:rFonts w:hint="default" w:ascii="Times New Roman" w:hAnsi="Times New Roman" w:cs="Times New Roman"/>
              <w:color w:val="auto"/>
            </w:rPr>
            <w:t>5.</w:t>
          </w:r>
          <w:r>
            <w:rPr>
              <w:rFonts w:hint="default" w:ascii="Times New Roman" w:hAnsi="Times New Roman" w:cs="Times New Roman"/>
              <w:color w:val="auto"/>
              <w:lang w:val="en-US" w:eastAsia="zh-CN"/>
            </w:rPr>
            <w:t>4</w:t>
          </w:r>
          <w:r>
            <w:rPr>
              <w:rFonts w:hint="default" w:ascii="Times New Roman" w:hAnsi="Times New Roman" w:cs="Times New Roman"/>
              <w:color w:val="auto"/>
            </w:rPr>
            <w:t>通讯基站</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_Toc32019 \h </w:instrText>
          </w:r>
          <w:r>
            <w:rPr>
              <w:rFonts w:hint="default" w:ascii="Times New Roman" w:hAnsi="Times New Roman" w:cs="Times New Roman"/>
              <w:color w:val="auto"/>
            </w:rPr>
            <w:fldChar w:fldCharType="separate"/>
          </w:r>
          <w:r>
            <w:rPr>
              <w:rFonts w:hint="default" w:ascii="Times New Roman" w:hAnsi="Times New Roman" w:cs="Times New Roman"/>
              <w:color w:val="auto"/>
            </w:rPr>
            <w:t>14</w:t>
          </w:r>
          <w:r>
            <w:rPr>
              <w:rFonts w:hint="default" w:ascii="Times New Roman" w:hAnsi="Times New Roman" w:cs="Times New Roman"/>
              <w:color w:val="auto"/>
            </w:rPr>
            <w:fldChar w:fldCharType="end"/>
          </w:r>
          <w:r>
            <w:rPr>
              <w:rFonts w:hint="default" w:ascii="Times New Roman" w:hAnsi="Times New Roman" w:cs="Times New Roman"/>
              <w:bCs/>
              <w:color w:val="auto"/>
              <w:lang w:val="zh-CN"/>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rFonts w:hint="default" w:ascii="Times New Roman" w:hAnsi="Times New Roman" w:cs="Times New Roman"/>
              <w:color w:val="auto"/>
            </w:rPr>
          </w:pPr>
          <w:r>
            <w:rPr>
              <w:rFonts w:hint="default" w:ascii="Times New Roman" w:hAnsi="Times New Roman" w:cs="Times New Roman"/>
              <w:bCs/>
              <w:color w:val="auto"/>
              <w:lang w:val="zh-CN"/>
            </w:rPr>
            <w:fldChar w:fldCharType="begin"/>
          </w:r>
          <w:r>
            <w:rPr>
              <w:rFonts w:hint="default" w:ascii="Times New Roman" w:hAnsi="Times New Roman" w:cs="Times New Roman"/>
              <w:bCs/>
              <w:color w:val="auto"/>
              <w:lang w:val="zh-CN"/>
            </w:rPr>
            <w:instrText xml:space="preserve"> HYPERLINK \l _Toc13127 </w:instrText>
          </w:r>
          <w:r>
            <w:rPr>
              <w:rFonts w:hint="default" w:ascii="Times New Roman" w:hAnsi="Times New Roman" w:cs="Times New Roman"/>
              <w:bCs/>
              <w:color w:val="auto"/>
              <w:lang w:val="zh-CN"/>
            </w:rPr>
            <w:fldChar w:fldCharType="separate"/>
          </w:r>
          <w:r>
            <w:rPr>
              <w:rFonts w:hint="default" w:ascii="Times New Roman" w:hAnsi="Times New Roman" w:cs="Times New Roman"/>
              <w:color w:val="auto"/>
            </w:rPr>
            <w:t>6 辐射环境现状监测</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_Toc13127 \h </w:instrText>
          </w:r>
          <w:r>
            <w:rPr>
              <w:rFonts w:hint="default" w:ascii="Times New Roman" w:hAnsi="Times New Roman" w:cs="Times New Roman"/>
              <w:color w:val="auto"/>
            </w:rPr>
            <w:fldChar w:fldCharType="separate"/>
          </w:r>
          <w:r>
            <w:rPr>
              <w:rFonts w:hint="default" w:ascii="Times New Roman" w:hAnsi="Times New Roman" w:cs="Times New Roman"/>
              <w:color w:val="auto"/>
            </w:rPr>
            <w:t>15</w:t>
          </w:r>
          <w:r>
            <w:rPr>
              <w:rFonts w:hint="default" w:ascii="Times New Roman" w:hAnsi="Times New Roman" w:cs="Times New Roman"/>
              <w:color w:val="auto"/>
            </w:rPr>
            <w:fldChar w:fldCharType="end"/>
          </w:r>
          <w:r>
            <w:rPr>
              <w:rFonts w:hint="default" w:ascii="Times New Roman" w:hAnsi="Times New Roman" w:cs="Times New Roman"/>
              <w:bCs/>
              <w:color w:val="auto"/>
              <w:lang w:val="zh-CN"/>
            </w:rPr>
            <w:fldChar w:fldCharType="end"/>
          </w:r>
        </w:p>
        <w:p>
          <w:pPr>
            <w:pStyle w:val="11"/>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rFonts w:hint="default" w:ascii="Times New Roman" w:hAnsi="Times New Roman" w:cs="Times New Roman"/>
              <w:color w:val="auto"/>
            </w:rPr>
          </w:pPr>
          <w:r>
            <w:rPr>
              <w:rFonts w:hint="default" w:ascii="Times New Roman" w:hAnsi="Times New Roman" w:cs="Times New Roman"/>
              <w:bCs/>
              <w:color w:val="auto"/>
              <w:lang w:val="zh-CN"/>
            </w:rPr>
            <w:fldChar w:fldCharType="begin"/>
          </w:r>
          <w:r>
            <w:rPr>
              <w:rFonts w:hint="default" w:ascii="Times New Roman" w:hAnsi="Times New Roman" w:cs="Times New Roman"/>
              <w:bCs/>
              <w:color w:val="auto"/>
              <w:lang w:val="zh-CN"/>
            </w:rPr>
            <w:instrText xml:space="preserve"> HYPERLINK \l _Toc24757 </w:instrText>
          </w:r>
          <w:r>
            <w:rPr>
              <w:rFonts w:hint="default" w:ascii="Times New Roman" w:hAnsi="Times New Roman" w:cs="Times New Roman"/>
              <w:bCs/>
              <w:color w:val="auto"/>
              <w:lang w:val="zh-CN"/>
            </w:rPr>
            <w:fldChar w:fldCharType="separate"/>
          </w:r>
          <w:r>
            <w:rPr>
              <w:rFonts w:hint="default" w:ascii="Times New Roman" w:hAnsi="Times New Roman" w:cs="Times New Roman"/>
              <w:color w:val="auto"/>
            </w:rPr>
            <w:t>6.1监测数据</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_Toc24757 \h </w:instrText>
          </w:r>
          <w:r>
            <w:rPr>
              <w:rFonts w:hint="default" w:ascii="Times New Roman" w:hAnsi="Times New Roman" w:cs="Times New Roman"/>
              <w:color w:val="auto"/>
            </w:rPr>
            <w:fldChar w:fldCharType="separate"/>
          </w:r>
          <w:r>
            <w:rPr>
              <w:rFonts w:hint="default" w:ascii="Times New Roman" w:hAnsi="Times New Roman" w:cs="Times New Roman"/>
              <w:color w:val="auto"/>
            </w:rPr>
            <w:t>15</w:t>
          </w:r>
          <w:r>
            <w:rPr>
              <w:rFonts w:hint="default" w:ascii="Times New Roman" w:hAnsi="Times New Roman" w:cs="Times New Roman"/>
              <w:color w:val="auto"/>
            </w:rPr>
            <w:fldChar w:fldCharType="end"/>
          </w:r>
          <w:r>
            <w:rPr>
              <w:rFonts w:hint="default" w:ascii="Times New Roman" w:hAnsi="Times New Roman" w:cs="Times New Roman"/>
              <w:bCs/>
              <w:color w:val="auto"/>
              <w:lang w:val="zh-CN"/>
            </w:rPr>
            <w:fldChar w:fldCharType="end"/>
          </w:r>
        </w:p>
        <w:p>
          <w:pPr>
            <w:pStyle w:val="6"/>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rFonts w:hint="default" w:ascii="Times New Roman" w:hAnsi="Times New Roman" w:cs="Times New Roman"/>
              <w:color w:val="auto"/>
            </w:rPr>
          </w:pPr>
          <w:r>
            <w:rPr>
              <w:rFonts w:hint="default" w:ascii="Times New Roman" w:hAnsi="Times New Roman" w:cs="Times New Roman"/>
              <w:bCs/>
              <w:color w:val="auto"/>
              <w:lang w:val="zh-CN"/>
            </w:rPr>
            <w:fldChar w:fldCharType="begin"/>
          </w:r>
          <w:r>
            <w:rPr>
              <w:rFonts w:hint="default" w:ascii="Times New Roman" w:hAnsi="Times New Roman" w:cs="Times New Roman"/>
              <w:bCs/>
              <w:color w:val="auto"/>
              <w:lang w:val="zh-CN"/>
            </w:rPr>
            <w:instrText xml:space="preserve"> HYPERLINK \l _Toc26238 </w:instrText>
          </w:r>
          <w:r>
            <w:rPr>
              <w:rFonts w:hint="default" w:ascii="Times New Roman" w:hAnsi="Times New Roman" w:cs="Times New Roman"/>
              <w:bCs/>
              <w:color w:val="auto"/>
              <w:lang w:val="zh-CN"/>
            </w:rPr>
            <w:fldChar w:fldCharType="separate"/>
          </w:r>
          <w:r>
            <w:rPr>
              <w:rFonts w:hint="default" w:ascii="Times New Roman" w:hAnsi="Times New Roman" w:cs="Times New Roman"/>
              <w:color w:val="auto"/>
            </w:rPr>
            <w:t>6.1.1密封放射源核技术利用单位</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_Toc26238 \h </w:instrText>
          </w:r>
          <w:r>
            <w:rPr>
              <w:rFonts w:hint="default" w:ascii="Times New Roman" w:hAnsi="Times New Roman" w:cs="Times New Roman"/>
              <w:color w:val="auto"/>
            </w:rPr>
            <w:fldChar w:fldCharType="separate"/>
          </w:r>
          <w:r>
            <w:rPr>
              <w:rFonts w:hint="default" w:ascii="Times New Roman" w:hAnsi="Times New Roman" w:cs="Times New Roman"/>
              <w:color w:val="auto"/>
            </w:rPr>
            <w:t>15</w:t>
          </w:r>
          <w:r>
            <w:rPr>
              <w:rFonts w:hint="default" w:ascii="Times New Roman" w:hAnsi="Times New Roman" w:cs="Times New Roman"/>
              <w:color w:val="auto"/>
            </w:rPr>
            <w:fldChar w:fldCharType="end"/>
          </w:r>
          <w:r>
            <w:rPr>
              <w:rFonts w:hint="default" w:ascii="Times New Roman" w:hAnsi="Times New Roman" w:cs="Times New Roman"/>
              <w:bCs/>
              <w:color w:val="auto"/>
              <w:lang w:val="zh-CN"/>
            </w:rPr>
            <w:fldChar w:fldCharType="end"/>
          </w:r>
        </w:p>
        <w:p>
          <w:pPr>
            <w:pStyle w:val="6"/>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rFonts w:hint="default" w:ascii="Times New Roman" w:hAnsi="Times New Roman" w:cs="Times New Roman"/>
              <w:color w:val="auto"/>
            </w:rPr>
          </w:pPr>
          <w:r>
            <w:rPr>
              <w:rFonts w:hint="default" w:ascii="Times New Roman" w:hAnsi="Times New Roman" w:cs="Times New Roman"/>
              <w:bCs/>
              <w:color w:val="auto"/>
              <w:lang w:val="zh-CN"/>
            </w:rPr>
            <w:fldChar w:fldCharType="begin"/>
          </w:r>
          <w:r>
            <w:rPr>
              <w:rFonts w:hint="default" w:ascii="Times New Roman" w:hAnsi="Times New Roman" w:cs="Times New Roman"/>
              <w:bCs/>
              <w:color w:val="auto"/>
              <w:lang w:val="zh-CN"/>
            </w:rPr>
            <w:instrText xml:space="preserve"> HYPERLINK \l _Toc28762 </w:instrText>
          </w:r>
          <w:r>
            <w:rPr>
              <w:rFonts w:hint="default" w:ascii="Times New Roman" w:hAnsi="Times New Roman" w:cs="Times New Roman"/>
              <w:bCs/>
              <w:color w:val="auto"/>
              <w:lang w:val="zh-CN"/>
            </w:rPr>
            <w:fldChar w:fldCharType="separate"/>
          </w:r>
          <w:r>
            <w:rPr>
              <w:rFonts w:hint="default" w:ascii="Times New Roman" w:hAnsi="Times New Roman" w:cs="Times New Roman"/>
              <w:color w:val="auto"/>
            </w:rPr>
            <w:t>6.1.</w:t>
          </w:r>
          <w:r>
            <w:rPr>
              <w:rFonts w:hint="default" w:ascii="Times New Roman" w:hAnsi="Times New Roman" w:cs="Times New Roman"/>
              <w:color w:val="auto"/>
              <w:lang w:val="en-US" w:eastAsia="zh-CN"/>
            </w:rPr>
            <w:t>2</w:t>
          </w:r>
          <w:r>
            <w:rPr>
              <w:rFonts w:hint="default" w:ascii="Times New Roman" w:hAnsi="Times New Roman" w:cs="Times New Roman"/>
              <w:color w:val="auto"/>
            </w:rPr>
            <w:t>射线装置核技术利用单位</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_Toc28762 \h </w:instrText>
          </w:r>
          <w:r>
            <w:rPr>
              <w:rFonts w:hint="default" w:ascii="Times New Roman" w:hAnsi="Times New Roman" w:cs="Times New Roman"/>
              <w:color w:val="auto"/>
            </w:rPr>
            <w:fldChar w:fldCharType="separate"/>
          </w:r>
          <w:r>
            <w:rPr>
              <w:rFonts w:hint="default" w:ascii="Times New Roman" w:hAnsi="Times New Roman" w:cs="Times New Roman"/>
              <w:color w:val="auto"/>
            </w:rPr>
            <w:t>15</w:t>
          </w:r>
          <w:r>
            <w:rPr>
              <w:rFonts w:hint="default" w:ascii="Times New Roman" w:hAnsi="Times New Roman" w:cs="Times New Roman"/>
              <w:color w:val="auto"/>
            </w:rPr>
            <w:fldChar w:fldCharType="end"/>
          </w:r>
          <w:r>
            <w:rPr>
              <w:rFonts w:hint="default" w:ascii="Times New Roman" w:hAnsi="Times New Roman" w:cs="Times New Roman"/>
              <w:bCs/>
              <w:color w:val="auto"/>
              <w:lang w:val="zh-CN"/>
            </w:rPr>
            <w:fldChar w:fldCharType="end"/>
          </w:r>
        </w:p>
        <w:p>
          <w:pPr>
            <w:pStyle w:val="6"/>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rFonts w:hint="default" w:ascii="Times New Roman" w:hAnsi="Times New Roman" w:cs="Times New Roman"/>
              <w:color w:val="auto"/>
            </w:rPr>
          </w:pPr>
          <w:r>
            <w:rPr>
              <w:rFonts w:hint="default" w:ascii="Times New Roman" w:hAnsi="Times New Roman" w:cs="Times New Roman"/>
              <w:bCs/>
              <w:color w:val="auto"/>
              <w:lang w:val="zh-CN"/>
            </w:rPr>
            <w:fldChar w:fldCharType="begin"/>
          </w:r>
          <w:r>
            <w:rPr>
              <w:rFonts w:hint="default" w:ascii="Times New Roman" w:hAnsi="Times New Roman" w:cs="Times New Roman"/>
              <w:bCs/>
              <w:color w:val="auto"/>
              <w:lang w:val="zh-CN"/>
            </w:rPr>
            <w:instrText xml:space="preserve"> HYPERLINK \l _Toc28876 </w:instrText>
          </w:r>
          <w:r>
            <w:rPr>
              <w:rFonts w:hint="default" w:ascii="Times New Roman" w:hAnsi="Times New Roman" w:cs="Times New Roman"/>
              <w:bCs/>
              <w:color w:val="auto"/>
              <w:lang w:val="zh-CN"/>
            </w:rPr>
            <w:fldChar w:fldCharType="separate"/>
          </w:r>
          <w:r>
            <w:rPr>
              <w:rFonts w:hint="default" w:ascii="Times New Roman" w:hAnsi="Times New Roman" w:cs="Times New Roman"/>
              <w:color w:val="auto"/>
            </w:rPr>
            <w:t>6.1.3 5G通信基站</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_Toc28876 \h </w:instrText>
          </w:r>
          <w:r>
            <w:rPr>
              <w:rFonts w:hint="default" w:ascii="Times New Roman" w:hAnsi="Times New Roman" w:cs="Times New Roman"/>
              <w:color w:val="auto"/>
            </w:rPr>
            <w:fldChar w:fldCharType="separate"/>
          </w:r>
          <w:r>
            <w:rPr>
              <w:rFonts w:hint="default" w:ascii="Times New Roman" w:hAnsi="Times New Roman" w:cs="Times New Roman"/>
              <w:color w:val="auto"/>
            </w:rPr>
            <w:t>16</w:t>
          </w:r>
          <w:r>
            <w:rPr>
              <w:rFonts w:hint="default" w:ascii="Times New Roman" w:hAnsi="Times New Roman" w:cs="Times New Roman"/>
              <w:color w:val="auto"/>
            </w:rPr>
            <w:fldChar w:fldCharType="end"/>
          </w:r>
          <w:r>
            <w:rPr>
              <w:rFonts w:hint="default" w:ascii="Times New Roman" w:hAnsi="Times New Roman" w:cs="Times New Roman"/>
              <w:bCs/>
              <w:color w:val="auto"/>
              <w:lang w:val="zh-CN"/>
            </w:rPr>
            <w:fldChar w:fldCharType="end"/>
          </w:r>
        </w:p>
        <w:p>
          <w:pPr>
            <w:pStyle w:val="11"/>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rFonts w:hint="default" w:ascii="Times New Roman" w:hAnsi="Times New Roman" w:cs="Times New Roman"/>
              <w:color w:val="auto"/>
            </w:rPr>
          </w:pPr>
          <w:r>
            <w:rPr>
              <w:rFonts w:hint="default" w:ascii="Times New Roman" w:hAnsi="Times New Roman" w:cs="Times New Roman"/>
              <w:bCs/>
              <w:color w:val="auto"/>
              <w:lang w:val="zh-CN"/>
            </w:rPr>
            <w:fldChar w:fldCharType="begin"/>
          </w:r>
          <w:r>
            <w:rPr>
              <w:rFonts w:hint="default" w:ascii="Times New Roman" w:hAnsi="Times New Roman" w:cs="Times New Roman"/>
              <w:bCs/>
              <w:color w:val="auto"/>
              <w:lang w:val="zh-CN"/>
            </w:rPr>
            <w:instrText xml:space="preserve"> HYPERLINK \l _Toc1616 </w:instrText>
          </w:r>
          <w:r>
            <w:rPr>
              <w:rFonts w:hint="default" w:ascii="Times New Roman" w:hAnsi="Times New Roman" w:cs="Times New Roman"/>
              <w:bCs/>
              <w:color w:val="auto"/>
              <w:lang w:val="zh-CN"/>
            </w:rPr>
            <w:fldChar w:fldCharType="separate"/>
          </w:r>
          <w:r>
            <w:rPr>
              <w:rFonts w:hint="default" w:ascii="Times New Roman" w:hAnsi="Times New Roman" w:cs="Times New Roman"/>
              <w:color w:val="auto"/>
            </w:rPr>
            <w:t>6.2 结果分析</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_Toc1616 \h </w:instrText>
          </w:r>
          <w:r>
            <w:rPr>
              <w:rFonts w:hint="default" w:ascii="Times New Roman" w:hAnsi="Times New Roman" w:cs="Times New Roman"/>
              <w:color w:val="auto"/>
            </w:rPr>
            <w:fldChar w:fldCharType="separate"/>
          </w:r>
          <w:r>
            <w:rPr>
              <w:rFonts w:hint="default" w:ascii="Times New Roman" w:hAnsi="Times New Roman" w:cs="Times New Roman"/>
              <w:color w:val="auto"/>
            </w:rPr>
            <w:t>18</w:t>
          </w:r>
          <w:r>
            <w:rPr>
              <w:rFonts w:hint="default" w:ascii="Times New Roman" w:hAnsi="Times New Roman" w:cs="Times New Roman"/>
              <w:color w:val="auto"/>
            </w:rPr>
            <w:fldChar w:fldCharType="end"/>
          </w:r>
          <w:r>
            <w:rPr>
              <w:rFonts w:hint="default" w:ascii="Times New Roman" w:hAnsi="Times New Roman" w:cs="Times New Roman"/>
              <w:bCs/>
              <w:color w:val="auto"/>
              <w:lang w:val="zh-CN"/>
            </w:rPr>
            <w:fldChar w:fldCharType="end"/>
          </w:r>
        </w:p>
        <w:p>
          <w:pPr>
            <w:pStyle w:val="6"/>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rFonts w:hint="default" w:ascii="Times New Roman" w:hAnsi="Times New Roman" w:cs="Times New Roman"/>
              <w:color w:val="auto"/>
            </w:rPr>
          </w:pPr>
          <w:r>
            <w:rPr>
              <w:rFonts w:hint="default" w:ascii="Times New Roman" w:hAnsi="Times New Roman" w:cs="Times New Roman"/>
              <w:bCs/>
              <w:color w:val="auto"/>
              <w:lang w:val="zh-CN"/>
            </w:rPr>
            <w:fldChar w:fldCharType="begin"/>
          </w:r>
          <w:r>
            <w:rPr>
              <w:rFonts w:hint="default" w:ascii="Times New Roman" w:hAnsi="Times New Roman" w:cs="Times New Roman"/>
              <w:bCs/>
              <w:color w:val="auto"/>
              <w:lang w:val="zh-CN"/>
            </w:rPr>
            <w:instrText xml:space="preserve"> HYPERLINK \l _Toc28264 </w:instrText>
          </w:r>
          <w:r>
            <w:rPr>
              <w:rFonts w:hint="default" w:ascii="Times New Roman" w:hAnsi="Times New Roman" w:cs="Times New Roman"/>
              <w:bCs/>
              <w:color w:val="auto"/>
              <w:lang w:val="zh-CN"/>
            </w:rPr>
            <w:fldChar w:fldCharType="separate"/>
          </w:r>
          <w:r>
            <w:rPr>
              <w:rFonts w:hint="default" w:ascii="Times New Roman" w:hAnsi="Times New Roman" w:cs="Times New Roman"/>
              <w:color w:val="auto"/>
            </w:rPr>
            <w:t>6.2.1密封放射源核技术利用单位</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_Toc28264 \h </w:instrText>
          </w:r>
          <w:r>
            <w:rPr>
              <w:rFonts w:hint="default" w:ascii="Times New Roman" w:hAnsi="Times New Roman" w:cs="Times New Roman"/>
              <w:color w:val="auto"/>
            </w:rPr>
            <w:fldChar w:fldCharType="separate"/>
          </w:r>
          <w:r>
            <w:rPr>
              <w:rFonts w:hint="default" w:ascii="Times New Roman" w:hAnsi="Times New Roman" w:cs="Times New Roman"/>
              <w:color w:val="auto"/>
            </w:rPr>
            <w:t>18</w:t>
          </w:r>
          <w:r>
            <w:rPr>
              <w:rFonts w:hint="default" w:ascii="Times New Roman" w:hAnsi="Times New Roman" w:cs="Times New Roman"/>
              <w:color w:val="auto"/>
            </w:rPr>
            <w:fldChar w:fldCharType="end"/>
          </w:r>
          <w:r>
            <w:rPr>
              <w:rFonts w:hint="default" w:ascii="Times New Roman" w:hAnsi="Times New Roman" w:cs="Times New Roman"/>
              <w:bCs/>
              <w:color w:val="auto"/>
              <w:lang w:val="zh-CN"/>
            </w:rPr>
            <w:fldChar w:fldCharType="end"/>
          </w:r>
        </w:p>
        <w:p>
          <w:pPr>
            <w:pStyle w:val="6"/>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rFonts w:hint="default" w:ascii="Times New Roman" w:hAnsi="Times New Roman" w:cs="Times New Roman"/>
              <w:color w:val="auto"/>
            </w:rPr>
          </w:pPr>
          <w:r>
            <w:rPr>
              <w:rFonts w:hint="default" w:ascii="Times New Roman" w:hAnsi="Times New Roman" w:cs="Times New Roman"/>
              <w:bCs/>
              <w:color w:val="auto"/>
              <w:lang w:val="zh-CN"/>
            </w:rPr>
            <w:fldChar w:fldCharType="begin"/>
          </w:r>
          <w:r>
            <w:rPr>
              <w:rFonts w:hint="default" w:ascii="Times New Roman" w:hAnsi="Times New Roman" w:cs="Times New Roman"/>
              <w:bCs/>
              <w:color w:val="auto"/>
              <w:lang w:val="zh-CN"/>
            </w:rPr>
            <w:instrText xml:space="preserve"> HYPERLINK \l _Toc13478 </w:instrText>
          </w:r>
          <w:r>
            <w:rPr>
              <w:rFonts w:hint="default" w:ascii="Times New Roman" w:hAnsi="Times New Roman" w:cs="Times New Roman"/>
              <w:bCs/>
              <w:color w:val="auto"/>
              <w:lang w:val="zh-CN"/>
            </w:rPr>
            <w:fldChar w:fldCharType="separate"/>
          </w:r>
          <w:r>
            <w:rPr>
              <w:rFonts w:hint="default" w:ascii="Times New Roman" w:hAnsi="Times New Roman" w:cs="Times New Roman"/>
              <w:color w:val="auto"/>
            </w:rPr>
            <w:t>6.2.2射线装置核技术利用单位</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_Toc13478 \h </w:instrText>
          </w:r>
          <w:r>
            <w:rPr>
              <w:rFonts w:hint="default" w:ascii="Times New Roman" w:hAnsi="Times New Roman" w:cs="Times New Roman"/>
              <w:color w:val="auto"/>
            </w:rPr>
            <w:fldChar w:fldCharType="separate"/>
          </w:r>
          <w:r>
            <w:rPr>
              <w:rFonts w:hint="default" w:ascii="Times New Roman" w:hAnsi="Times New Roman" w:cs="Times New Roman"/>
              <w:color w:val="auto"/>
            </w:rPr>
            <w:t>19</w:t>
          </w:r>
          <w:r>
            <w:rPr>
              <w:rFonts w:hint="default" w:ascii="Times New Roman" w:hAnsi="Times New Roman" w:cs="Times New Roman"/>
              <w:color w:val="auto"/>
            </w:rPr>
            <w:fldChar w:fldCharType="end"/>
          </w:r>
          <w:r>
            <w:rPr>
              <w:rFonts w:hint="default" w:ascii="Times New Roman" w:hAnsi="Times New Roman" w:cs="Times New Roman"/>
              <w:bCs/>
              <w:color w:val="auto"/>
              <w:lang w:val="zh-CN"/>
            </w:rPr>
            <w:fldChar w:fldCharType="end"/>
          </w:r>
        </w:p>
        <w:p>
          <w:pPr>
            <w:pStyle w:val="6"/>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rFonts w:hint="default" w:ascii="Times New Roman" w:hAnsi="Times New Roman" w:cs="Times New Roman"/>
              <w:color w:val="auto"/>
            </w:rPr>
          </w:pPr>
          <w:r>
            <w:rPr>
              <w:rFonts w:hint="default" w:ascii="Times New Roman" w:hAnsi="Times New Roman" w:cs="Times New Roman"/>
              <w:bCs/>
              <w:color w:val="auto"/>
              <w:lang w:val="zh-CN"/>
            </w:rPr>
            <w:fldChar w:fldCharType="begin"/>
          </w:r>
          <w:r>
            <w:rPr>
              <w:rFonts w:hint="default" w:ascii="Times New Roman" w:hAnsi="Times New Roman" w:cs="Times New Roman"/>
              <w:bCs/>
              <w:color w:val="auto"/>
              <w:lang w:val="zh-CN"/>
            </w:rPr>
            <w:instrText xml:space="preserve"> HYPERLINK \l _Toc15628 </w:instrText>
          </w:r>
          <w:r>
            <w:rPr>
              <w:rFonts w:hint="default" w:ascii="Times New Roman" w:hAnsi="Times New Roman" w:cs="Times New Roman"/>
              <w:bCs/>
              <w:color w:val="auto"/>
              <w:lang w:val="zh-CN"/>
            </w:rPr>
            <w:fldChar w:fldCharType="separate"/>
          </w:r>
          <w:r>
            <w:rPr>
              <w:rFonts w:hint="default" w:ascii="Times New Roman" w:hAnsi="Times New Roman" w:cs="Times New Roman"/>
              <w:color w:val="auto"/>
            </w:rPr>
            <w:t>6.2.3 5G通信基站</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_Toc15628 \h </w:instrText>
          </w:r>
          <w:r>
            <w:rPr>
              <w:rFonts w:hint="default" w:ascii="Times New Roman" w:hAnsi="Times New Roman" w:cs="Times New Roman"/>
              <w:color w:val="auto"/>
            </w:rPr>
            <w:fldChar w:fldCharType="separate"/>
          </w:r>
          <w:r>
            <w:rPr>
              <w:rFonts w:hint="default" w:ascii="Times New Roman" w:hAnsi="Times New Roman" w:cs="Times New Roman"/>
              <w:color w:val="auto"/>
            </w:rPr>
            <w:t>21</w:t>
          </w:r>
          <w:r>
            <w:rPr>
              <w:rFonts w:hint="default" w:ascii="Times New Roman" w:hAnsi="Times New Roman" w:cs="Times New Roman"/>
              <w:color w:val="auto"/>
            </w:rPr>
            <w:fldChar w:fldCharType="end"/>
          </w:r>
          <w:r>
            <w:rPr>
              <w:rFonts w:hint="default" w:ascii="Times New Roman" w:hAnsi="Times New Roman" w:cs="Times New Roman"/>
              <w:bCs/>
              <w:color w:val="auto"/>
              <w:lang w:val="zh-CN"/>
            </w:rPr>
            <w:fldChar w:fldCharType="end"/>
          </w:r>
        </w:p>
        <w:p>
          <w:pPr>
            <w:pStyle w:val="11"/>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rFonts w:hint="default" w:ascii="Times New Roman" w:hAnsi="Times New Roman" w:cs="Times New Roman"/>
              <w:color w:val="auto"/>
            </w:rPr>
          </w:pPr>
          <w:r>
            <w:rPr>
              <w:rFonts w:hint="default" w:ascii="Times New Roman" w:hAnsi="Times New Roman" w:cs="Times New Roman"/>
              <w:bCs/>
              <w:color w:val="auto"/>
              <w:lang w:val="zh-CN"/>
            </w:rPr>
            <w:fldChar w:fldCharType="begin"/>
          </w:r>
          <w:r>
            <w:rPr>
              <w:rFonts w:hint="default" w:ascii="Times New Roman" w:hAnsi="Times New Roman" w:cs="Times New Roman"/>
              <w:bCs/>
              <w:color w:val="auto"/>
              <w:lang w:val="zh-CN"/>
            </w:rPr>
            <w:instrText xml:space="preserve"> HYPERLINK \l _Toc20079 </w:instrText>
          </w:r>
          <w:r>
            <w:rPr>
              <w:rFonts w:hint="default" w:ascii="Times New Roman" w:hAnsi="Times New Roman" w:cs="Times New Roman"/>
              <w:bCs/>
              <w:color w:val="auto"/>
              <w:lang w:val="zh-CN"/>
            </w:rPr>
            <w:fldChar w:fldCharType="separate"/>
          </w:r>
          <w:r>
            <w:rPr>
              <w:rFonts w:hint="default" w:ascii="Times New Roman" w:hAnsi="Times New Roman" w:cs="Times New Roman"/>
              <w:color w:val="auto"/>
            </w:rPr>
            <w:t>6.3 监测结论</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_Toc20079 \h </w:instrText>
          </w:r>
          <w:r>
            <w:rPr>
              <w:rFonts w:hint="default" w:ascii="Times New Roman" w:hAnsi="Times New Roman" w:cs="Times New Roman"/>
              <w:color w:val="auto"/>
            </w:rPr>
            <w:fldChar w:fldCharType="separate"/>
          </w:r>
          <w:r>
            <w:rPr>
              <w:rFonts w:hint="default" w:ascii="Times New Roman" w:hAnsi="Times New Roman" w:cs="Times New Roman"/>
              <w:color w:val="auto"/>
            </w:rPr>
            <w:t>23</w:t>
          </w:r>
          <w:r>
            <w:rPr>
              <w:rFonts w:hint="default" w:ascii="Times New Roman" w:hAnsi="Times New Roman" w:cs="Times New Roman"/>
              <w:color w:val="auto"/>
            </w:rPr>
            <w:fldChar w:fldCharType="end"/>
          </w:r>
          <w:r>
            <w:rPr>
              <w:rFonts w:hint="default" w:ascii="Times New Roman" w:hAnsi="Times New Roman" w:cs="Times New Roman"/>
              <w:bCs/>
              <w:color w:val="auto"/>
              <w:lang w:val="zh-CN"/>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rFonts w:hint="default" w:ascii="Times New Roman" w:hAnsi="Times New Roman" w:cs="Times New Roman"/>
              <w:color w:val="auto"/>
            </w:rPr>
          </w:pPr>
          <w:r>
            <w:rPr>
              <w:rFonts w:hint="default" w:ascii="Times New Roman" w:hAnsi="Times New Roman" w:cs="Times New Roman"/>
              <w:bCs/>
              <w:color w:val="auto"/>
              <w:lang w:val="zh-CN"/>
            </w:rPr>
            <w:fldChar w:fldCharType="begin"/>
          </w:r>
          <w:r>
            <w:rPr>
              <w:rFonts w:hint="default" w:ascii="Times New Roman" w:hAnsi="Times New Roman" w:cs="Times New Roman"/>
              <w:bCs/>
              <w:color w:val="auto"/>
              <w:lang w:val="zh-CN"/>
            </w:rPr>
            <w:instrText xml:space="preserve"> HYPERLINK \l _Toc9910 </w:instrText>
          </w:r>
          <w:r>
            <w:rPr>
              <w:rFonts w:hint="default" w:ascii="Times New Roman" w:hAnsi="Times New Roman" w:cs="Times New Roman"/>
              <w:bCs/>
              <w:color w:val="auto"/>
              <w:lang w:val="zh-CN"/>
            </w:rPr>
            <w:fldChar w:fldCharType="separate"/>
          </w:r>
          <w:r>
            <w:rPr>
              <w:rFonts w:hint="default" w:ascii="Times New Roman" w:hAnsi="Times New Roman" w:cs="Times New Roman"/>
              <w:color w:val="auto"/>
            </w:rPr>
            <w:t>7辐射安全管理评估</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_Toc9910 \h </w:instrText>
          </w:r>
          <w:r>
            <w:rPr>
              <w:rFonts w:hint="default" w:ascii="Times New Roman" w:hAnsi="Times New Roman" w:cs="Times New Roman"/>
              <w:color w:val="auto"/>
            </w:rPr>
            <w:fldChar w:fldCharType="separate"/>
          </w:r>
          <w:r>
            <w:rPr>
              <w:rFonts w:hint="default" w:ascii="Times New Roman" w:hAnsi="Times New Roman" w:cs="Times New Roman"/>
              <w:color w:val="auto"/>
            </w:rPr>
            <w:t>24</w:t>
          </w:r>
          <w:r>
            <w:rPr>
              <w:rFonts w:hint="default" w:ascii="Times New Roman" w:hAnsi="Times New Roman" w:cs="Times New Roman"/>
              <w:color w:val="auto"/>
            </w:rPr>
            <w:fldChar w:fldCharType="end"/>
          </w:r>
          <w:r>
            <w:rPr>
              <w:rFonts w:hint="default" w:ascii="Times New Roman" w:hAnsi="Times New Roman" w:cs="Times New Roman"/>
              <w:bCs/>
              <w:color w:val="auto"/>
              <w:lang w:val="zh-CN"/>
            </w:rPr>
            <w:fldChar w:fldCharType="end"/>
          </w:r>
        </w:p>
        <w:p>
          <w:pPr>
            <w:pStyle w:val="11"/>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rFonts w:hint="default" w:ascii="Times New Roman" w:hAnsi="Times New Roman" w:cs="Times New Roman"/>
              <w:color w:val="auto"/>
            </w:rPr>
          </w:pPr>
          <w:r>
            <w:rPr>
              <w:rFonts w:hint="default" w:ascii="Times New Roman" w:hAnsi="Times New Roman" w:cs="Times New Roman"/>
              <w:bCs/>
              <w:color w:val="auto"/>
              <w:lang w:val="zh-CN"/>
            </w:rPr>
            <w:fldChar w:fldCharType="begin"/>
          </w:r>
          <w:r>
            <w:rPr>
              <w:rFonts w:hint="default" w:ascii="Times New Roman" w:hAnsi="Times New Roman" w:cs="Times New Roman"/>
              <w:bCs/>
              <w:color w:val="auto"/>
              <w:lang w:val="zh-CN"/>
            </w:rPr>
            <w:instrText xml:space="preserve"> HYPERLINK \l _Toc5119 </w:instrText>
          </w:r>
          <w:r>
            <w:rPr>
              <w:rFonts w:hint="default" w:ascii="Times New Roman" w:hAnsi="Times New Roman" w:cs="Times New Roman"/>
              <w:bCs/>
              <w:color w:val="auto"/>
              <w:lang w:val="zh-CN"/>
            </w:rPr>
            <w:fldChar w:fldCharType="separate"/>
          </w:r>
          <w:r>
            <w:rPr>
              <w:rFonts w:hint="default" w:ascii="Times New Roman" w:hAnsi="Times New Roman" w:cs="Times New Roman"/>
              <w:color w:val="auto"/>
            </w:rPr>
            <w:t>7.1辐射安全管理现状</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_Toc5119 \h </w:instrText>
          </w:r>
          <w:r>
            <w:rPr>
              <w:rFonts w:hint="default" w:ascii="Times New Roman" w:hAnsi="Times New Roman" w:cs="Times New Roman"/>
              <w:color w:val="auto"/>
            </w:rPr>
            <w:fldChar w:fldCharType="separate"/>
          </w:r>
          <w:r>
            <w:rPr>
              <w:rFonts w:hint="default" w:ascii="Times New Roman" w:hAnsi="Times New Roman" w:cs="Times New Roman"/>
              <w:color w:val="auto"/>
            </w:rPr>
            <w:t>24</w:t>
          </w:r>
          <w:r>
            <w:rPr>
              <w:rFonts w:hint="default" w:ascii="Times New Roman" w:hAnsi="Times New Roman" w:cs="Times New Roman"/>
              <w:color w:val="auto"/>
            </w:rPr>
            <w:fldChar w:fldCharType="end"/>
          </w:r>
          <w:r>
            <w:rPr>
              <w:rFonts w:hint="default" w:ascii="Times New Roman" w:hAnsi="Times New Roman" w:cs="Times New Roman"/>
              <w:bCs/>
              <w:color w:val="auto"/>
              <w:lang w:val="zh-CN"/>
            </w:rPr>
            <w:fldChar w:fldCharType="end"/>
          </w:r>
        </w:p>
        <w:p>
          <w:pPr>
            <w:pStyle w:val="11"/>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rFonts w:hint="default" w:ascii="Times New Roman" w:hAnsi="Times New Roman" w:cs="Times New Roman"/>
              <w:color w:val="auto"/>
            </w:rPr>
          </w:pPr>
          <w:r>
            <w:rPr>
              <w:rFonts w:hint="default" w:ascii="Times New Roman" w:hAnsi="Times New Roman" w:cs="Times New Roman"/>
              <w:bCs/>
              <w:color w:val="auto"/>
              <w:lang w:val="zh-CN"/>
            </w:rPr>
            <w:fldChar w:fldCharType="begin"/>
          </w:r>
          <w:r>
            <w:rPr>
              <w:rFonts w:hint="default" w:ascii="Times New Roman" w:hAnsi="Times New Roman" w:cs="Times New Roman"/>
              <w:bCs/>
              <w:color w:val="auto"/>
              <w:lang w:val="zh-CN"/>
            </w:rPr>
            <w:instrText xml:space="preserve"> HYPERLINK \l _Toc22391 </w:instrText>
          </w:r>
          <w:r>
            <w:rPr>
              <w:rFonts w:hint="default" w:ascii="Times New Roman" w:hAnsi="Times New Roman" w:cs="Times New Roman"/>
              <w:bCs/>
              <w:color w:val="auto"/>
              <w:lang w:val="zh-CN"/>
            </w:rPr>
            <w:fldChar w:fldCharType="separate"/>
          </w:r>
          <w:r>
            <w:rPr>
              <w:rFonts w:hint="default" w:ascii="Times New Roman" w:hAnsi="Times New Roman" w:cs="Times New Roman"/>
              <w:color w:val="auto"/>
            </w:rPr>
            <w:t>7.2存在的问题与不足</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_Toc22391 \h </w:instrText>
          </w:r>
          <w:r>
            <w:rPr>
              <w:rFonts w:hint="default" w:ascii="Times New Roman" w:hAnsi="Times New Roman" w:cs="Times New Roman"/>
              <w:color w:val="auto"/>
            </w:rPr>
            <w:fldChar w:fldCharType="separate"/>
          </w:r>
          <w:r>
            <w:rPr>
              <w:rFonts w:hint="default" w:ascii="Times New Roman" w:hAnsi="Times New Roman" w:cs="Times New Roman"/>
              <w:color w:val="auto"/>
            </w:rPr>
            <w:t>24</w:t>
          </w:r>
          <w:r>
            <w:rPr>
              <w:rFonts w:hint="default" w:ascii="Times New Roman" w:hAnsi="Times New Roman" w:cs="Times New Roman"/>
              <w:color w:val="auto"/>
            </w:rPr>
            <w:fldChar w:fldCharType="end"/>
          </w:r>
          <w:r>
            <w:rPr>
              <w:rFonts w:hint="default" w:ascii="Times New Roman" w:hAnsi="Times New Roman" w:cs="Times New Roman"/>
              <w:bCs/>
              <w:color w:val="auto"/>
              <w:lang w:val="zh-CN"/>
            </w:rPr>
            <w:fldChar w:fldCharType="end"/>
          </w:r>
        </w:p>
        <w:p>
          <w:pPr>
            <w:pStyle w:val="11"/>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rFonts w:hint="default" w:ascii="Times New Roman" w:hAnsi="Times New Roman" w:cs="Times New Roman"/>
              <w:color w:val="auto"/>
            </w:rPr>
          </w:pPr>
          <w:r>
            <w:rPr>
              <w:rFonts w:hint="default" w:ascii="Times New Roman" w:hAnsi="Times New Roman" w:cs="Times New Roman"/>
              <w:bCs/>
              <w:color w:val="auto"/>
              <w:lang w:val="zh-CN"/>
            </w:rPr>
            <w:fldChar w:fldCharType="begin"/>
          </w:r>
          <w:r>
            <w:rPr>
              <w:rFonts w:hint="default" w:ascii="Times New Roman" w:hAnsi="Times New Roman" w:cs="Times New Roman"/>
              <w:bCs/>
              <w:color w:val="auto"/>
              <w:lang w:val="zh-CN"/>
            </w:rPr>
            <w:instrText xml:space="preserve"> HYPERLINK \l _Toc25099 </w:instrText>
          </w:r>
          <w:r>
            <w:rPr>
              <w:rFonts w:hint="default" w:ascii="Times New Roman" w:hAnsi="Times New Roman" w:cs="Times New Roman"/>
              <w:bCs/>
              <w:color w:val="auto"/>
              <w:lang w:val="zh-CN"/>
            </w:rPr>
            <w:fldChar w:fldCharType="separate"/>
          </w:r>
          <w:r>
            <w:rPr>
              <w:rFonts w:hint="default" w:ascii="Times New Roman" w:hAnsi="Times New Roman" w:cs="Times New Roman"/>
              <w:color w:val="auto"/>
            </w:rPr>
            <w:t>7.3下一步的工作建议</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_Toc25099 \h </w:instrText>
          </w:r>
          <w:r>
            <w:rPr>
              <w:rFonts w:hint="default" w:ascii="Times New Roman" w:hAnsi="Times New Roman" w:cs="Times New Roman"/>
              <w:color w:val="auto"/>
            </w:rPr>
            <w:fldChar w:fldCharType="separate"/>
          </w:r>
          <w:r>
            <w:rPr>
              <w:rFonts w:hint="default" w:ascii="Times New Roman" w:hAnsi="Times New Roman" w:cs="Times New Roman"/>
              <w:color w:val="auto"/>
            </w:rPr>
            <w:t>25</w:t>
          </w:r>
          <w:r>
            <w:rPr>
              <w:rFonts w:hint="default" w:ascii="Times New Roman" w:hAnsi="Times New Roman" w:cs="Times New Roman"/>
              <w:color w:val="auto"/>
            </w:rPr>
            <w:fldChar w:fldCharType="end"/>
          </w:r>
          <w:r>
            <w:rPr>
              <w:rFonts w:hint="default" w:ascii="Times New Roman" w:hAnsi="Times New Roman" w:cs="Times New Roman"/>
              <w:bCs/>
              <w:color w:val="auto"/>
              <w:lang w:val="zh-CN"/>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color w:val="auto"/>
            </w:rPr>
          </w:pPr>
          <w:r>
            <w:rPr>
              <w:rFonts w:hint="default" w:ascii="Times New Roman" w:hAnsi="Times New Roman" w:cs="Times New Roman"/>
              <w:bCs/>
              <w:color w:val="auto"/>
              <w:lang w:val="zh-CN"/>
            </w:rPr>
            <w:fldChar w:fldCharType="begin"/>
          </w:r>
          <w:r>
            <w:rPr>
              <w:rFonts w:hint="default" w:ascii="Times New Roman" w:hAnsi="Times New Roman" w:cs="Times New Roman"/>
              <w:bCs/>
              <w:color w:val="auto"/>
              <w:lang w:val="zh-CN"/>
            </w:rPr>
            <w:instrText xml:space="preserve"> HYPERLINK \l _Toc7814 </w:instrText>
          </w:r>
          <w:r>
            <w:rPr>
              <w:rFonts w:hint="default" w:ascii="Times New Roman" w:hAnsi="Times New Roman" w:cs="Times New Roman"/>
              <w:bCs/>
              <w:color w:val="auto"/>
              <w:lang w:val="zh-CN"/>
            </w:rPr>
            <w:fldChar w:fldCharType="separate"/>
          </w:r>
          <w:r>
            <w:rPr>
              <w:rFonts w:hint="default" w:ascii="Times New Roman" w:hAnsi="Times New Roman" w:cs="Times New Roman"/>
              <w:color w:val="auto"/>
              <w:szCs w:val="32"/>
            </w:rPr>
            <w:t>附件</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_Toc7814 \h </w:instrText>
          </w:r>
          <w:r>
            <w:rPr>
              <w:rFonts w:hint="default" w:ascii="Times New Roman" w:hAnsi="Times New Roman" w:cs="Times New Roman"/>
              <w:color w:val="auto"/>
            </w:rPr>
            <w:fldChar w:fldCharType="separate"/>
          </w:r>
          <w:r>
            <w:rPr>
              <w:rFonts w:hint="default" w:ascii="Times New Roman" w:hAnsi="Times New Roman" w:cs="Times New Roman"/>
              <w:color w:val="auto"/>
            </w:rPr>
            <w:t>27</w:t>
          </w:r>
          <w:r>
            <w:rPr>
              <w:rFonts w:hint="default" w:ascii="Times New Roman" w:hAnsi="Times New Roman" w:cs="Times New Roman"/>
              <w:color w:val="auto"/>
            </w:rPr>
            <w:fldChar w:fldCharType="end"/>
          </w:r>
          <w:r>
            <w:rPr>
              <w:rFonts w:hint="default" w:ascii="Times New Roman" w:hAnsi="Times New Roman" w:cs="Times New Roman"/>
              <w:bCs/>
              <w:color w:val="auto"/>
              <w:lang w:val="zh-CN"/>
            </w:rPr>
            <w:fldChar w:fldCharType="end"/>
          </w:r>
        </w:p>
        <w:p>
          <w:pPr>
            <w:pStyle w:val="11"/>
            <w:tabs>
              <w:tab w:val="right" w:leader="dot" w:pos="8296"/>
            </w:tabs>
            <w:spacing w:line="560" w:lineRule="exact"/>
            <w:ind w:left="0" w:leftChars="0" w:firstLine="0" w:firstLineChars="0"/>
            <w:rPr>
              <w:rFonts w:hint="default" w:ascii="Times New Roman" w:hAnsi="Times New Roman" w:cs="Times New Roman"/>
              <w:color w:val="auto"/>
            </w:rPr>
          </w:pPr>
          <w:r>
            <w:rPr>
              <w:rFonts w:hint="default" w:ascii="Times New Roman" w:hAnsi="Times New Roman" w:cs="Times New Roman"/>
              <w:bCs/>
              <w:color w:val="auto"/>
              <w:lang w:val="zh-CN"/>
            </w:rPr>
            <w:fldChar w:fldCharType="end"/>
          </w:r>
        </w:p>
      </w:sdtContent>
    </w:sdt>
    <w:p>
      <w:pPr>
        <w:spacing w:line="480" w:lineRule="auto"/>
        <w:ind w:firstLine="0" w:firstLineChars="0"/>
        <w:jc w:val="center"/>
        <w:rPr>
          <w:rFonts w:hint="default" w:ascii="Times New Roman" w:hAnsi="Times New Roman" w:cs="Times New Roman" w:eastAsiaTheme="minorEastAsia"/>
          <w:b/>
          <w:color w:val="auto"/>
          <w:sz w:val="32"/>
          <w:szCs w:val="52"/>
        </w:rPr>
        <w:sectPr>
          <w:pgSz w:w="11906" w:h="16838"/>
          <w:pgMar w:top="1440" w:right="1800" w:bottom="1440" w:left="1800" w:header="851" w:footer="992" w:gutter="0"/>
          <w:cols w:space="425" w:num="1"/>
          <w:docGrid w:type="lines" w:linePitch="312" w:charSpace="0"/>
        </w:sectPr>
      </w:pPr>
    </w:p>
    <w:p>
      <w:pPr>
        <w:pStyle w:val="3"/>
        <w:ind w:left="0" w:leftChars="0" w:firstLine="0" w:firstLineChars="0"/>
        <w:rPr>
          <w:rFonts w:hint="default" w:ascii="Times New Roman" w:hAnsi="Times New Roman" w:cs="Times New Roman"/>
          <w:color w:val="auto"/>
        </w:rPr>
      </w:pPr>
      <w:bookmarkStart w:id="0" w:name="_Toc3421"/>
      <w:r>
        <w:rPr>
          <w:rFonts w:hint="default" w:ascii="Times New Roman" w:hAnsi="Times New Roman" w:cs="Times New Roman"/>
          <w:color w:val="auto"/>
        </w:rPr>
        <w:t>1 项目概况</w:t>
      </w:r>
      <w:bookmarkEnd w:id="0"/>
    </w:p>
    <w:p>
      <w:pPr>
        <w:pStyle w:val="4"/>
        <w:ind w:left="0" w:leftChars="0" w:firstLine="0" w:firstLineChars="0"/>
        <w:rPr>
          <w:rFonts w:hint="default" w:ascii="Times New Roman" w:hAnsi="Times New Roman" w:eastAsia="楷体" w:cs="Times New Roman"/>
          <w:color w:val="auto"/>
          <w:lang w:eastAsia="zh-CN"/>
        </w:rPr>
      </w:pPr>
      <w:bookmarkStart w:id="1" w:name="_Toc118877512"/>
      <w:bookmarkStart w:id="2" w:name="_Toc27511"/>
      <w:r>
        <w:rPr>
          <w:rFonts w:hint="default" w:ascii="Times New Roman" w:hAnsi="Times New Roman" w:cs="Times New Roman"/>
          <w:color w:val="auto"/>
        </w:rPr>
        <w:t>1.1</w:t>
      </w:r>
      <w:bookmarkEnd w:id="1"/>
      <w:r>
        <w:rPr>
          <w:rFonts w:hint="default" w:ascii="Times New Roman" w:hAnsi="Times New Roman" w:cs="Times New Roman"/>
          <w:color w:val="auto"/>
        </w:rPr>
        <w:t>项目</w:t>
      </w:r>
      <w:r>
        <w:rPr>
          <w:rFonts w:hint="default" w:ascii="Times New Roman" w:hAnsi="Times New Roman" w:cs="Times New Roman"/>
          <w:color w:val="auto"/>
          <w:lang w:eastAsia="zh-CN"/>
        </w:rPr>
        <w:t>依据</w:t>
      </w:r>
      <w:bookmarkEnd w:id="2"/>
    </w:p>
    <w:p>
      <w:pPr>
        <w:ind w:firstLine="560"/>
        <w:rPr>
          <w:rFonts w:hint="default" w:ascii="Times New Roman" w:hAnsi="Times New Roman" w:cs="Times New Roman"/>
          <w:color w:val="auto"/>
        </w:rPr>
      </w:pPr>
      <w:r>
        <w:rPr>
          <w:rFonts w:hint="default" w:ascii="Times New Roman" w:hAnsi="Times New Roman" w:cs="Times New Roman"/>
          <w:color w:val="auto"/>
        </w:rPr>
        <w:t>依据《2022年国家生态环境监测方案》《2022年全省生态环境工作要点》《2022年全省生态环境监测工作要点》和《2022年湖北省生态环境监测方案》等文件要求，2022年</w:t>
      </w:r>
      <w:r>
        <w:rPr>
          <w:rFonts w:hint="default" w:ascii="Times New Roman" w:hAnsi="Times New Roman" w:cs="Times New Roman"/>
          <w:color w:val="auto"/>
          <w:lang w:val="en-US" w:eastAsia="zh-CN"/>
        </w:rPr>
        <w:t>12</w:t>
      </w:r>
      <w:r>
        <w:rPr>
          <w:rFonts w:hint="default" w:ascii="Times New Roman" w:hAnsi="Times New Roman" w:cs="Times New Roman"/>
          <w:color w:val="auto"/>
        </w:rPr>
        <w:t>月，</w:t>
      </w:r>
      <w:r>
        <w:rPr>
          <w:rFonts w:hint="default" w:ascii="Times New Roman" w:hAnsi="Times New Roman" w:cs="Times New Roman"/>
          <w:color w:val="auto"/>
          <w:lang w:eastAsia="zh-CN"/>
        </w:rPr>
        <w:t>随州市</w:t>
      </w:r>
      <w:r>
        <w:rPr>
          <w:rFonts w:hint="default" w:ascii="Times New Roman" w:hAnsi="Times New Roman" w:cs="Times New Roman"/>
          <w:color w:val="auto"/>
        </w:rPr>
        <w:t>生态环境局（以下简称“我局”）委托湖北省核工业放射性核素检测实验中心（以下简称“检测中心”）开展了</w:t>
      </w:r>
      <w:r>
        <w:rPr>
          <w:rFonts w:hint="default" w:ascii="Times New Roman" w:hAnsi="Times New Roman" w:cs="Times New Roman"/>
          <w:color w:val="auto"/>
          <w:lang w:eastAsia="zh-CN"/>
        </w:rPr>
        <w:t>随州市</w:t>
      </w:r>
      <w:r>
        <w:rPr>
          <w:rFonts w:hint="default" w:ascii="Times New Roman" w:hAnsi="Times New Roman" w:cs="Times New Roman"/>
          <w:color w:val="auto"/>
        </w:rPr>
        <w:t>辐射环境监督性监测工作。检测中心接受委托后，立即在我局的指导下到辖区内核技术利用单位开展辐射环境监测和辐射安全检查工作，</w:t>
      </w:r>
      <w:r>
        <w:rPr>
          <w:rFonts w:hint="default" w:ascii="Times New Roman" w:hAnsi="Times New Roman" w:cs="Times New Roman"/>
          <w:color w:val="auto"/>
          <w:lang w:eastAsia="zh-CN"/>
        </w:rPr>
        <w:t>并</w:t>
      </w:r>
      <w:r>
        <w:rPr>
          <w:rFonts w:hint="default" w:ascii="Times New Roman" w:hAnsi="Times New Roman" w:cs="Times New Roman"/>
          <w:color w:val="auto"/>
        </w:rPr>
        <w:t>编制完成《随州市2022年核技术利用单位监督性监测报告》。</w:t>
      </w:r>
    </w:p>
    <w:p>
      <w:pPr>
        <w:pStyle w:val="4"/>
        <w:ind w:left="0" w:leftChars="0" w:firstLine="0" w:firstLineChars="0"/>
        <w:rPr>
          <w:rFonts w:hint="default" w:ascii="Times New Roman" w:hAnsi="Times New Roman" w:eastAsia="楷体" w:cs="Times New Roman"/>
          <w:color w:val="auto"/>
          <w:lang w:eastAsia="zh-CN"/>
        </w:rPr>
      </w:pPr>
      <w:bookmarkStart w:id="3" w:name="_Toc29623"/>
      <w:r>
        <w:rPr>
          <w:rFonts w:hint="default" w:ascii="Times New Roman" w:hAnsi="Times New Roman" w:cs="Times New Roman"/>
          <w:color w:val="auto"/>
        </w:rPr>
        <w:t>1.2</w:t>
      </w:r>
      <w:r>
        <w:rPr>
          <w:rFonts w:hint="default" w:ascii="Times New Roman" w:hAnsi="Times New Roman" w:cs="Times New Roman"/>
          <w:color w:val="auto"/>
          <w:lang w:eastAsia="zh-CN"/>
        </w:rPr>
        <w:t>项目内容</w:t>
      </w:r>
      <w:bookmarkEnd w:id="3"/>
    </w:p>
    <w:p>
      <w:pPr>
        <w:ind w:firstLine="560"/>
        <w:rPr>
          <w:rFonts w:hint="default" w:ascii="Times New Roman" w:hAnsi="Times New Roman" w:cs="Times New Roman"/>
          <w:color w:val="auto"/>
          <w:lang w:val="en-US" w:eastAsia="zh-CN"/>
        </w:rPr>
      </w:pPr>
      <w:r>
        <w:rPr>
          <w:rFonts w:hint="default" w:ascii="Times New Roman" w:hAnsi="Times New Roman" w:cs="Times New Roman"/>
          <w:color w:val="auto"/>
        </w:rPr>
        <w:t>本项目</w:t>
      </w:r>
      <w:r>
        <w:rPr>
          <w:rFonts w:hint="default" w:ascii="Times New Roman" w:hAnsi="Times New Roman" w:cs="Times New Roman"/>
          <w:color w:val="auto"/>
          <w:lang w:eastAsia="zh-CN"/>
        </w:rPr>
        <w:t>对随州市内部分核技术利用单位和豁免水平以上</w:t>
      </w:r>
      <w:r>
        <w:rPr>
          <w:rFonts w:hint="default" w:ascii="Times New Roman" w:hAnsi="Times New Roman" w:cs="Times New Roman"/>
          <w:color w:val="auto"/>
          <w:lang w:val="en-US" w:eastAsia="zh-CN"/>
        </w:rPr>
        <w:t>5G基站开展监督性监测。</w:t>
      </w:r>
    </w:p>
    <w:p>
      <w:pPr>
        <w:ind w:firstLine="560"/>
        <w:rPr>
          <w:rFonts w:hint="default" w:ascii="Times New Roman" w:hAnsi="Times New Roman" w:cs="Times New Roman"/>
          <w:color w:val="auto"/>
        </w:rPr>
      </w:pPr>
      <w:r>
        <w:rPr>
          <w:rFonts w:hint="default" w:ascii="Times New Roman" w:hAnsi="Times New Roman" w:cs="Times New Roman"/>
          <w:color w:val="auto"/>
        </w:rPr>
        <w:t>监测对象包括</w:t>
      </w:r>
      <w:r>
        <w:rPr>
          <w:rFonts w:hint="default" w:ascii="Times New Roman" w:hAnsi="Times New Roman" w:cs="Times New Roman"/>
          <w:color w:val="auto"/>
          <w:lang w:val="en-US" w:eastAsia="zh-CN"/>
        </w:rPr>
        <w:t>4</w:t>
      </w:r>
      <w:r>
        <w:rPr>
          <w:rFonts w:hint="default" w:ascii="Times New Roman" w:hAnsi="Times New Roman" w:cs="Times New Roman"/>
          <w:color w:val="auto"/>
        </w:rPr>
        <w:t>家使用密封放射源核技术利用单位，放射源共有</w:t>
      </w:r>
      <w:r>
        <w:rPr>
          <w:rFonts w:hint="default" w:ascii="Times New Roman" w:hAnsi="Times New Roman" w:cs="Times New Roman"/>
          <w:color w:val="auto"/>
          <w:lang w:val="en-US" w:eastAsia="zh-CN"/>
        </w:rPr>
        <w:t>12</w:t>
      </w:r>
      <w:r>
        <w:rPr>
          <w:rFonts w:hint="default" w:ascii="Times New Roman" w:hAnsi="Times New Roman" w:cs="Times New Roman"/>
          <w:color w:val="auto"/>
        </w:rPr>
        <w:t>枚，</w:t>
      </w:r>
      <w:r>
        <w:rPr>
          <w:rFonts w:hint="default" w:ascii="Times New Roman" w:hAnsi="Times New Roman" w:cs="Times New Roman"/>
          <w:color w:val="auto"/>
          <w:szCs w:val="28"/>
        </w:rPr>
        <w:t>其中</w:t>
      </w:r>
      <w:r>
        <w:rPr>
          <w:rFonts w:hint="default" w:ascii="Times New Roman" w:hAnsi="Times New Roman" w:eastAsia="宋体" w:cs="Times New Roman"/>
          <w:bCs/>
          <w:color w:val="auto"/>
          <w:szCs w:val="28"/>
        </w:rPr>
        <w:t>Ⅳ</w:t>
      </w:r>
      <w:r>
        <w:rPr>
          <w:rFonts w:hint="default" w:ascii="Times New Roman" w:hAnsi="Times New Roman" w:cs="Times New Roman"/>
          <w:bCs/>
          <w:color w:val="auto"/>
          <w:szCs w:val="28"/>
        </w:rPr>
        <w:t>类放射源</w:t>
      </w:r>
      <w:r>
        <w:rPr>
          <w:rFonts w:hint="default" w:ascii="Times New Roman" w:hAnsi="Times New Roman" w:cs="Times New Roman"/>
          <w:color w:val="auto"/>
          <w:szCs w:val="28"/>
        </w:rPr>
        <w:t>有1枚，</w:t>
      </w:r>
      <w:r>
        <w:rPr>
          <w:rFonts w:hint="default" w:ascii="Times New Roman" w:hAnsi="Times New Roman" w:eastAsia="宋体" w:cs="Times New Roman"/>
          <w:color w:val="auto"/>
          <w:szCs w:val="28"/>
        </w:rPr>
        <w:t>Ⅴ</w:t>
      </w:r>
      <w:r>
        <w:rPr>
          <w:rFonts w:hint="default" w:ascii="Times New Roman" w:hAnsi="Times New Roman" w:cs="Times New Roman"/>
          <w:color w:val="auto"/>
          <w:szCs w:val="28"/>
        </w:rPr>
        <w:t>类放射源有</w:t>
      </w:r>
      <w:r>
        <w:rPr>
          <w:rFonts w:hint="default" w:ascii="Times New Roman" w:hAnsi="Times New Roman" w:cs="Times New Roman"/>
          <w:color w:val="auto"/>
          <w:szCs w:val="28"/>
          <w:lang w:val="en-US" w:eastAsia="zh-CN"/>
        </w:rPr>
        <w:t>11</w:t>
      </w:r>
      <w:r>
        <w:rPr>
          <w:rFonts w:hint="default" w:ascii="Times New Roman" w:hAnsi="Times New Roman" w:cs="Times New Roman"/>
          <w:bCs/>
          <w:color w:val="auto"/>
          <w:szCs w:val="28"/>
        </w:rPr>
        <w:t>枚</w:t>
      </w:r>
      <w:r>
        <w:rPr>
          <w:rFonts w:hint="default" w:ascii="Times New Roman" w:hAnsi="Times New Roman" w:cs="Times New Roman"/>
          <w:color w:val="auto"/>
          <w:szCs w:val="28"/>
        </w:rPr>
        <w:t>；</w:t>
      </w:r>
      <w:r>
        <w:rPr>
          <w:rFonts w:hint="default" w:ascii="Times New Roman" w:hAnsi="Times New Roman" w:cs="Times New Roman"/>
          <w:color w:val="auto"/>
          <w:szCs w:val="28"/>
          <w:lang w:val="en-US" w:eastAsia="zh-CN"/>
        </w:rPr>
        <w:t>10</w:t>
      </w:r>
      <w:r>
        <w:rPr>
          <w:rFonts w:hint="default" w:ascii="Times New Roman" w:hAnsi="Times New Roman" w:cs="Times New Roman"/>
          <w:color w:val="auto"/>
          <w:szCs w:val="28"/>
        </w:rPr>
        <w:t>家</w:t>
      </w:r>
      <w:r>
        <w:rPr>
          <w:rFonts w:hint="default" w:ascii="Times New Roman" w:hAnsi="Times New Roman" w:cs="Times New Roman"/>
          <w:color w:val="auto"/>
          <w:szCs w:val="28"/>
          <w:lang w:eastAsia="zh-CN"/>
        </w:rPr>
        <w:t>使用</w:t>
      </w:r>
      <w:r>
        <w:rPr>
          <w:rFonts w:hint="default" w:ascii="Times New Roman" w:hAnsi="Times New Roman" w:cs="Times New Roman"/>
          <w:color w:val="auto"/>
          <w:lang w:eastAsia="zh-CN"/>
        </w:rPr>
        <w:t>Ⅱ、Ⅲ类</w:t>
      </w:r>
      <w:r>
        <w:rPr>
          <w:rFonts w:hint="default" w:ascii="Times New Roman" w:hAnsi="Times New Roman" w:cs="Times New Roman"/>
          <w:color w:val="auto"/>
          <w:szCs w:val="28"/>
        </w:rPr>
        <w:t>射线装置核技术利用单位，其中3家单位为医疗卫生单位，</w:t>
      </w:r>
      <w:r>
        <w:rPr>
          <w:rFonts w:hint="default" w:ascii="Times New Roman" w:hAnsi="Times New Roman" w:cs="Times New Roman"/>
          <w:color w:val="auto"/>
          <w:szCs w:val="28"/>
          <w:lang w:val="en-US" w:eastAsia="zh-CN"/>
        </w:rPr>
        <w:t>7</w:t>
      </w:r>
      <w:r>
        <w:rPr>
          <w:rFonts w:hint="default" w:ascii="Times New Roman" w:hAnsi="Times New Roman" w:cs="Times New Roman"/>
          <w:color w:val="auto"/>
          <w:szCs w:val="28"/>
        </w:rPr>
        <w:t>家单位为工业企业单位，射线装置共有</w:t>
      </w:r>
      <w:r>
        <w:rPr>
          <w:rFonts w:hint="default" w:ascii="Times New Roman" w:hAnsi="Times New Roman" w:cs="Times New Roman"/>
          <w:color w:val="auto"/>
          <w:szCs w:val="28"/>
          <w:lang w:val="en-US" w:eastAsia="zh-CN"/>
        </w:rPr>
        <w:t>29</w:t>
      </w:r>
      <w:r>
        <w:rPr>
          <w:rFonts w:hint="default" w:ascii="Times New Roman" w:hAnsi="Times New Roman" w:cs="Times New Roman"/>
          <w:color w:val="auto"/>
          <w:szCs w:val="28"/>
        </w:rPr>
        <w:t>台</w:t>
      </w:r>
      <w:r>
        <w:rPr>
          <w:rFonts w:hint="default" w:ascii="Times New Roman" w:hAnsi="Times New Roman" w:cs="Times New Roman"/>
          <w:color w:val="auto"/>
          <w:szCs w:val="28"/>
          <w:lang w:eastAsia="zh-CN"/>
        </w:rPr>
        <w:t>，其中</w:t>
      </w:r>
      <w:r>
        <w:rPr>
          <w:rFonts w:hint="default" w:ascii="Times New Roman" w:hAnsi="Times New Roman" w:cs="Times New Roman"/>
          <w:color w:val="auto"/>
          <w:lang w:eastAsia="zh-CN"/>
        </w:rPr>
        <w:t>Ⅱ类</w:t>
      </w:r>
      <w:r>
        <w:rPr>
          <w:rFonts w:hint="default" w:ascii="Times New Roman" w:hAnsi="Times New Roman" w:cs="Times New Roman"/>
          <w:color w:val="auto"/>
          <w:szCs w:val="28"/>
        </w:rPr>
        <w:t>射线装置</w:t>
      </w:r>
      <w:r>
        <w:rPr>
          <w:rFonts w:hint="default" w:ascii="Times New Roman" w:hAnsi="Times New Roman" w:cs="Times New Roman"/>
          <w:color w:val="auto"/>
          <w:szCs w:val="28"/>
          <w:lang w:val="en-US" w:eastAsia="zh-CN"/>
        </w:rPr>
        <w:t>8台</w:t>
      </w:r>
      <w:r>
        <w:rPr>
          <w:rFonts w:hint="default" w:ascii="Times New Roman" w:hAnsi="Times New Roman" w:cs="Times New Roman"/>
          <w:color w:val="auto"/>
          <w:lang w:eastAsia="zh-CN"/>
        </w:rPr>
        <w:t>，Ⅲ类</w:t>
      </w:r>
      <w:r>
        <w:rPr>
          <w:rFonts w:hint="default" w:ascii="Times New Roman" w:hAnsi="Times New Roman" w:cs="Times New Roman"/>
          <w:color w:val="auto"/>
          <w:szCs w:val="28"/>
        </w:rPr>
        <w:t>射线装置</w:t>
      </w:r>
      <w:r>
        <w:rPr>
          <w:rFonts w:hint="default" w:ascii="Times New Roman" w:hAnsi="Times New Roman" w:cs="Times New Roman"/>
          <w:color w:val="auto"/>
          <w:szCs w:val="28"/>
          <w:lang w:val="en-US" w:eastAsia="zh-CN"/>
        </w:rPr>
        <w:t>21台</w:t>
      </w:r>
      <w:r>
        <w:rPr>
          <w:rFonts w:hint="default" w:ascii="Times New Roman" w:hAnsi="Times New Roman" w:cs="Times New Roman"/>
          <w:color w:val="auto"/>
          <w:szCs w:val="28"/>
          <w:lang w:eastAsia="zh-CN"/>
        </w:rPr>
        <w:t>；</w:t>
      </w:r>
      <w:r>
        <w:rPr>
          <w:rFonts w:hint="default" w:ascii="Times New Roman" w:hAnsi="Times New Roman" w:cs="Times New Roman"/>
          <w:color w:val="auto"/>
          <w:szCs w:val="28"/>
          <w:lang w:val="en-US" w:eastAsia="zh-CN"/>
        </w:rPr>
        <w:t>2</w:t>
      </w:r>
      <w:r>
        <w:rPr>
          <w:rFonts w:hint="default" w:ascii="Times New Roman" w:hAnsi="Times New Roman" w:cs="Times New Roman"/>
          <w:color w:val="auto"/>
          <w:szCs w:val="28"/>
        </w:rPr>
        <w:t>0座通信基站，其中移动</w:t>
      </w:r>
      <w:r>
        <w:rPr>
          <w:rFonts w:hint="default" w:ascii="Times New Roman" w:hAnsi="Times New Roman" w:cs="Times New Roman"/>
          <w:color w:val="auto"/>
          <w:szCs w:val="28"/>
          <w:lang w:val="en-US" w:eastAsia="zh-CN"/>
        </w:rPr>
        <w:t>8座，</w:t>
      </w:r>
      <w:r>
        <w:rPr>
          <w:rFonts w:hint="default" w:ascii="Times New Roman" w:hAnsi="Times New Roman" w:cs="Times New Roman"/>
          <w:color w:val="auto"/>
        </w:rPr>
        <w:t>联通、电信</w:t>
      </w:r>
      <w:r>
        <w:rPr>
          <w:rFonts w:hint="default" w:ascii="Times New Roman" w:hAnsi="Times New Roman" w:cs="Times New Roman"/>
          <w:color w:val="auto"/>
          <w:lang w:eastAsia="zh-CN"/>
        </w:rPr>
        <w:t>共建</w:t>
      </w:r>
      <w:r>
        <w:rPr>
          <w:rFonts w:hint="default" w:ascii="Times New Roman" w:hAnsi="Times New Roman" w:cs="Times New Roman"/>
          <w:color w:val="auto"/>
          <w:lang w:val="en-US" w:eastAsia="zh-CN"/>
        </w:rPr>
        <w:t>12</w:t>
      </w:r>
      <w:r>
        <w:rPr>
          <w:rFonts w:hint="default" w:ascii="Times New Roman" w:hAnsi="Times New Roman" w:cs="Times New Roman"/>
          <w:color w:val="auto"/>
        </w:rPr>
        <w:t>座。</w:t>
      </w:r>
    </w:p>
    <w:p>
      <w:pPr>
        <w:ind w:firstLine="560"/>
        <w:rPr>
          <w:rFonts w:hint="default" w:ascii="Times New Roman" w:hAnsi="Times New Roman" w:cs="Times New Roman"/>
          <w:color w:val="auto"/>
        </w:rPr>
      </w:pPr>
      <w:r>
        <w:rPr>
          <w:rFonts w:hint="default" w:ascii="Times New Roman" w:hAnsi="Times New Roman" w:cs="Times New Roman"/>
          <w:color w:val="auto"/>
        </w:rPr>
        <w:t>本项目监测对象见表1-1。</w:t>
      </w:r>
    </w:p>
    <w:p>
      <w:pPr>
        <w:pStyle w:val="2"/>
        <w:rPr>
          <w:rFonts w:hint="default" w:ascii="Times New Roman" w:hAnsi="Times New Roman" w:cs="Times New Roman"/>
          <w:color w:val="auto"/>
        </w:rPr>
      </w:pPr>
    </w:p>
    <w:p>
      <w:pPr>
        <w:ind w:firstLine="0" w:firstLineChars="0"/>
        <w:jc w:val="center"/>
        <w:rPr>
          <w:rFonts w:hint="default" w:ascii="Times New Roman" w:hAnsi="Times New Roman" w:eastAsia="黑体" w:cs="Times New Roman"/>
          <w:color w:val="auto"/>
          <w:sz w:val="24"/>
        </w:rPr>
      </w:pPr>
      <w:r>
        <w:rPr>
          <w:rFonts w:hint="default" w:ascii="Times New Roman" w:hAnsi="Times New Roman" w:eastAsia="黑体" w:cs="Times New Roman"/>
          <w:color w:val="auto"/>
          <w:sz w:val="24"/>
        </w:rPr>
        <w:t>表1-1  本项目监测对象一览表</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1712"/>
        <w:gridCol w:w="2682"/>
        <w:gridCol w:w="1134"/>
        <w:gridCol w:w="1134"/>
        <w:gridCol w:w="1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817" w:type="dxa"/>
            <w:vAlign w:val="center"/>
          </w:tcPr>
          <w:p>
            <w:pPr>
              <w:pStyle w:val="2"/>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bCs/>
                <w:color w:val="auto"/>
                <w:sz w:val="24"/>
              </w:rPr>
            </w:pPr>
            <w:r>
              <w:rPr>
                <w:rFonts w:hint="default" w:ascii="Times New Roman" w:hAnsi="Times New Roman" w:cs="Times New Roman"/>
                <w:b/>
                <w:bCs/>
                <w:color w:val="auto"/>
                <w:sz w:val="24"/>
              </w:rPr>
              <w:t>序号</w:t>
            </w:r>
          </w:p>
        </w:tc>
        <w:tc>
          <w:tcPr>
            <w:tcW w:w="1712" w:type="dxa"/>
            <w:vAlign w:val="center"/>
          </w:tcPr>
          <w:p>
            <w:pPr>
              <w:pStyle w:val="2"/>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bCs/>
                <w:color w:val="auto"/>
                <w:sz w:val="24"/>
              </w:rPr>
            </w:pPr>
            <w:r>
              <w:rPr>
                <w:rFonts w:hint="default" w:ascii="Times New Roman" w:hAnsi="Times New Roman" w:cs="Times New Roman"/>
                <w:b/>
                <w:bCs/>
                <w:color w:val="auto"/>
                <w:sz w:val="24"/>
              </w:rPr>
              <w:t>监测对象</w:t>
            </w:r>
          </w:p>
        </w:tc>
        <w:tc>
          <w:tcPr>
            <w:tcW w:w="2682" w:type="dxa"/>
            <w:vAlign w:val="center"/>
          </w:tcPr>
          <w:p>
            <w:pPr>
              <w:pStyle w:val="2"/>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bCs/>
                <w:color w:val="auto"/>
                <w:sz w:val="24"/>
              </w:rPr>
            </w:pPr>
            <w:r>
              <w:rPr>
                <w:rFonts w:hint="default" w:ascii="Times New Roman" w:hAnsi="Times New Roman" w:cs="Times New Roman"/>
                <w:b/>
                <w:bCs/>
                <w:color w:val="auto"/>
                <w:sz w:val="24"/>
              </w:rPr>
              <w:t>核技术利用单位总数</w:t>
            </w:r>
          </w:p>
        </w:tc>
        <w:tc>
          <w:tcPr>
            <w:tcW w:w="1134" w:type="dxa"/>
            <w:vAlign w:val="center"/>
          </w:tcPr>
          <w:p>
            <w:pPr>
              <w:pStyle w:val="2"/>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bCs/>
                <w:color w:val="auto"/>
                <w:sz w:val="24"/>
              </w:rPr>
            </w:pPr>
            <w:r>
              <w:rPr>
                <w:rFonts w:hint="default" w:ascii="Times New Roman" w:hAnsi="Times New Roman" w:cs="Times New Roman"/>
                <w:b/>
                <w:bCs/>
                <w:color w:val="auto"/>
                <w:sz w:val="24"/>
              </w:rPr>
              <w:t>明细</w:t>
            </w:r>
          </w:p>
        </w:tc>
        <w:tc>
          <w:tcPr>
            <w:tcW w:w="1134" w:type="dxa"/>
            <w:vAlign w:val="center"/>
          </w:tcPr>
          <w:p>
            <w:pPr>
              <w:pStyle w:val="2"/>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bCs/>
                <w:color w:val="auto"/>
                <w:sz w:val="24"/>
              </w:rPr>
            </w:pPr>
            <w:r>
              <w:rPr>
                <w:rFonts w:hint="default" w:ascii="Times New Roman" w:hAnsi="Times New Roman" w:cs="Times New Roman"/>
                <w:b/>
                <w:bCs/>
                <w:color w:val="auto"/>
                <w:sz w:val="24"/>
              </w:rPr>
              <w:t>数量</w:t>
            </w:r>
          </w:p>
        </w:tc>
        <w:tc>
          <w:tcPr>
            <w:tcW w:w="1043" w:type="dxa"/>
            <w:vAlign w:val="center"/>
          </w:tcPr>
          <w:p>
            <w:pPr>
              <w:pStyle w:val="2"/>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bCs/>
                <w:color w:val="auto"/>
                <w:sz w:val="24"/>
              </w:rPr>
            </w:pPr>
            <w:r>
              <w:rPr>
                <w:rFonts w:hint="default" w:ascii="Times New Roman" w:hAnsi="Times New Roman" w:cs="Times New Roman"/>
                <w:b/>
                <w:bCs/>
                <w:color w:val="auto"/>
                <w:sz w:val="24"/>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restart"/>
            <w:vAlign w:val="center"/>
          </w:tcPr>
          <w:p>
            <w:pPr>
              <w:pStyle w:val="2"/>
              <w:spacing w:line="240" w:lineRule="auto"/>
              <w:ind w:firstLine="0" w:firstLineChars="0"/>
              <w:jc w:val="center"/>
              <w:rPr>
                <w:rFonts w:hint="default" w:ascii="Times New Roman" w:hAnsi="Times New Roman" w:cs="Times New Roman"/>
                <w:color w:val="auto"/>
                <w:sz w:val="24"/>
              </w:rPr>
            </w:pPr>
            <w:r>
              <w:rPr>
                <w:rFonts w:hint="default" w:ascii="Times New Roman" w:hAnsi="Times New Roman" w:cs="Times New Roman"/>
                <w:color w:val="auto"/>
                <w:sz w:val="24"/>
              </w:rPr>
              <w:t>1</w:t>
            </w:r>
          </w:p>
        </w:tc>
        <w:tc>
          <w:tcPr>
            <w:tcW w:w="1712" w:type="dxa"/>
            <w:vMerge w:val="restart"/>
            <w:vAlign w:val="center"/>
          </w:tcPr>
          <w:p>
            <w:pPr>
              <w:pStyle w:val="2"/>
              <w:spacing w:line="240" w:lineRule="auto"/>
              <w:ind w:firstLine="0" w:firstLineChars="0"/>
              <w:jc w:val="center"/>
              <w:rPr>
                <w:rFonts w:hint="default" w:ascii="Times New Roman" w:hAnsi="Times New Roman" w:cs="Times New Roman"/>
                <w:color w:val="auto"/>
                <w:sz w:val="24"/>
              </w:rPr>
            </w:pPr>
            <w:r>
              <w:rPr>
                <w:rFonts w:hint="default" w:ascii="Times New Roman" w:hAnsi="Times New Roman" w:cs="Times New Roman"/>
                <w:color w:val="auto"/>
                <w:sz w:val="24"/>
              </w:rPr>
              <w:t>密封放射源</w:t>
            </w:r>
          </w:p>
        </w:tc>
        <w:tc>
          <w:tcPr>
            <w:tcW w:w="2682" w:type="dxa"/>
            <w:vMerge w:val="restart"/>
            <w:vAlign w:val="center"/>
          </w:tcPr>
          <w:p>
            <w:pPr>
              <w:pStyle w:val="2"/>
              <w:spacing w:line="240" w:lineRule="auto"/>
              <w:ind w:firstLine="0" w:firstLineChars="0"/>
              <w:jc w:val="center"/>
              <w:rPr>
                <w:rFonts w:hint="default" w:ascii="Times New Roman" w:hAnsi="Times New Roman" w:cs="Times New Roman"/>
                <w:color w:val="auto"/>
                <w:sz w:val="24"/>
              </w:rPr>
            </w:pPr>
            <w:r>
              <w:rPr>
                <w:rFonts w:hint="default" w:ascii="Times New Roman" w:hAnsi="Times New Roman" w:cs="Times New Roman"/>
                <w:color w:val="auto"/>
                <w:sz w:val="24"/>
                <w:lang w:val="en-US" w:eastAsia="zh-CN"/>
              </w:rPr>
              <w:t>4</w:t>
            </w:r>
            <w:r>
              <w:rPr>
                <w:rFonts w:hint="default" w:ascii="Times New Roman" w:hAnsi="Times New Roman" w:cs="Times New Roman"/>
                <w:color w:val="auto"/>
                <w:sz w:val="24"/>
              </w:rPr>
              <w:t>家</w:t>
            </w:r>
          </w:p>
        </w:tc>
        <w:tc>
          <w:tcPr>
            <w:tcW w:w="1134" w:type="dxa"/>
            <w:vAlign w:val="center"/>
          </w:tcPr>
          <w:p>
            <w:pPr>
              <w:pStyle w:val="2"/>
              <w:spacing w:line="240" w:lineRule="auto"/>
              <w:ind w:firstLine="0" w:firstLineChars="0"/>
              <w:jc w:val="center"/>
              <w:rPr>
                <w:rFonts w:hint="default" w:ascii="Times New Roman" w:hAnsi="Times New Roman" w:cs="Times New Roman"/>
                <w:color w:val="auto"/>
                <w:sz w:val="24"/>
              </w:rPr>
            </w:pPr>
            <w:r>
              <w:rPr>
                <w:rFonts w:hint="default" w:ascii="Times New Roman" w:hAnsi="Times New Roman" w:eastAsia="宋体" w:cs="Times New Roman"/>
                <w:bCs/>
                <w:color w:val="auto"/>
                <w:sz w:val="24"/>
              </w:rPr>
              <w:t>Ⅳ</w:t>
            </w:r>
            <w:r>
              <w:rPr>
                <w:rFonts w:hint="default" w:ascii="Times New Roman" w:hAnsi="Times New Roman" w:cs="Times New Roman"/>
                <w:bCs/>
                <w:color w:val="auto"/>
                <w:sz w:val="24"/>
              </w:rPr>
              <w:t>类</w:t>
            </w:r>
          </w:p>
        </w:tc>
        <w:tc>
          <w:tcPr>
            <w:tcW w:w="1134" w:type="dxa"/>
            <w:vAlign w:val="center"/>
          </w:tcPr>
          <w:p>
            <w:pPr>
              <w:pStyle w:val="2"/>
              <w:spacing w:line="240" w:lineRule="auto"/>
              <w:ind w:firstLine="0" w:firstLineChars="0"/>
              <w:jc w:val="center"/>
              <w:rPr>
                <w:rFonts w:hint="default" w:ascii="Times New Roman" w:hAnsi="Times New Roman" w:cs="Times New Roman"/>
                <w:color w:val="auto"/>
                <w:sz w:val="24"/>
              </w:rPr>
            </w:pPr>
            <w:r>
              <w:rPr>
                <w:rFonts w:hint="default" w:ascii="Times New Roman" w:hAnsi="Times New Roman" w:cs="Times New Roman"/>
                <w:color w:val="auto"/>
                <w:sz w:val="24"/>
                <w:lang w:val="en-US" w:eastAsia="zh-CN"/>
              </w:rPr>
              <w:t>1</w:t>
            </w:r>
            <w:r>
              <w:rPr>
                <w:rFonts w:hint="default" w:ascii="Times New Roman" w:hAnsi="Times New Roman" w:cs="Times New Roman"/>
                <w:color w:val="auto"/>
                <w:sz w:val="24"/>
              </w:rPr>
              <w:t>枚</w:t>
            </w:r>
          </w:p>
        </w:tc>
        <w:tc>
          <w:tcPr>
            <w:tcW w:w="1043" w:type="dxa"/>
            <w:vMerge w:val="restart"/>
            <w:vAlign w:val="center"/>
          </w:tcPr>
          <w:p>
            <w:pPr>
              <w:pStyle w:val="2"/>
              <w:spacing w:line="240" w:lineRule="auto"/>
              <w:ind w:firstLine="0" w:firstLineChars="0"/>
              <w:jc w:val="center"/>
              <w:rPr>
                <w:rFonts w:hint="default" w:ascii="Times New Roman" w:hAnsi="Times New Roman" w:cs="Times New Roman"/>
                <w:color w:val="auto"/>
                <w:sz w:val="24"/>
              </w:rPr>
            </w:pPr>
            <w:r>
              <w:rPr>
                <w:rFonts w:hint="default" w:ascii="Times New Roman" w:hAnsi="Times New Roman" w:cs="Times New Roman"/>
                <w:color w:val="auto"/>
                <w:sz w:val="24"/>
                <w:lang w:val="en-US" w:eastAsia="zh-CN"/>
              </w:rPr>
              <w:t>12</w:t>
            </w:r>
            <w:r>
              <w:rPr>
                <w:rFonts w:hint="default" w:ascii="Times New Roman" w:hAnsi="Times New Roman" w:cs="Times New Roman"/>
                <w:color w:val="auto"/>
                <w:sz w:val="24"/>
              </w:rPr>
              <w:t>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vAlign w:val="center"/>
          </w:tcPr>
          <w:p>
            <w:pPr>
              <w:pStyle w:val="2"/>
              <w:spacing w:line="240" w:lineRule="auto"/>
              <w:ind w:firstLine="0" w:firstLineChars="0"/>
              <w:jc w:val="center"/>
              <w:rPr>
                <w:rFonts w:hint="default" w:ascii="Times New Roman" w:hAnsi="Times New Roman" w:cs="Times New Roman"/>
                <w:color w:val="auto"/>
                <w:sz w:val="24"/>
              </w:rPr>
            </w:pPr>
          </w:p>
        </w:tc>
        <w:tc>
          <w:tcPr>
            <w:tcW w:w="1712" w:type="dxa"/>
            <w:vMerge w:val="continue"/>
            <w:vAlign w:val="center"/>
          </w:tcPr>
          <w:p>
            <w:pPr>
              <w:pStyle w:val="2"/>
              <w:spacing w:line="240" w:lineRule="auto"/>
              <w:ind w:firstLine="0" w:firstLineChars="0"/>
              <w:jc w:val="center"/>
              <w:rPr>
                <w:rFonts w:hint="default" w:ascii="Times New Roman" w:hAnsi="Times New Roman" w:cs="Times New Roman"/>
                <w:color w:val="auto"/>
                <w:sz w:val="24"/>
              </w:rPr>
            </w:pPr>
          </w:p>
        </w:tc>
        <w:tc>
          <w:tcPr>
            <w:tcW w:w="2682" w:type="dxa"/>
            <w:vMerge w:val="continue"/>
            <w:vAlign w:val="center"/>
          </w:tcPr>
          <w:p>
            <w:pPr>
              <w:pStyle w:val="2"/>
              <w:spacing w:line="240" w:lineRule="auto"/>
              <w:ind w:firstLine="0" w:firstLineChars="0"/>
              <w:jc w:val="center"/>
              <w:rPr>
                <w:rFonts w:hint="default" w:ascii="Times New Roman" w:hAnsi="Times New Roman" w:cs="Times New Roman"/>
                <w:color w:val="auto"/>
                <w:sz w:val="24"/>
              </w:rPr>
            </w:pPr>
          </w:p>
        </w:tc>
        <w:tc>
          <w:tcPr>
            <w:tcW w:w="1134" w:type="dxa"/>
            <w:vAlign w:val="center"/>
          </w:tcPr>
          <w:p>
            <w:pPr>
              <w:pStyle w:val="2"/>
              <w:spacing w:line="240" w:lineRule="auto"/>
              <w:ind w:firstLine="0" w:firstLineChars="0"/>
              <w:jc w:val="center"/>
              <w:rPr>
                <w:rFonts w:hint="default" w:ascii="Times New Roman" w:hAnsi="Times New Roman" w:cs="Times New Roman"/>
                <w:color w:val="auto"/>
                <w:sz w:val="24"/>
              </w:rPr>
            </w:pPr>
            <w:r>
              <w:rPr>
                <w:rFonts w:hint="default" w:ascii="Times New Roman" w:hAnsi="Times New Roman" w:eastAsia="宋体" w:cs="Times New Roman"/>
                <w:color w:val="auto"/>
                <w:sz w:val="24"/>
              </w:rPr>
              <w:t>Ⅴ</w:t>
            </w:r>
            <w:r>
              <w:rPr>
                <w:rFonts w:hint="default" w:ascii="Times New Roman" w:hAnsi="Times New Roman" w:cs="Times New Roman"/>
                <w:color w:val="auto"/>
                <w:sz w:val="24"/>
              </w:rPr>
              <w:t>类</w:t>
            </w:r>
          </w:p>
        </w:tc>
        <w:tc>
          <w:tcPr>
            <w:tcW w:w="1134" w:type="dxa"/>
            <w:vAlign w:val="center"/>
          </w:tcPr>
          <w:p>
            <w:pPr>
              <w:pStyle w:val="2"/>
              <w:spacing w:line="240" w:lineRule="auto"/>
              <w:ind w:firstLine="0" w:firstLineChars="0"/>
              <w:jc w:val="center"/>
              <w:rPr>
                <w:rFonts w:hint="default" w:ascii="Times New Roman" w:hAnsi="Times New Roman" w:cs="Times New Roman"/>
                <w:color w:val="auto"/>
                <w:sz w:val="24"/>
              </w:rPr>
            </w:pPr>
            <w:r>
              <w:rPr>
                <w:rFonts w:hint="default" w:ascii="Times New Roman" w:hAnsi="Times New Roman" w:cs="Times New Roman"/>
                <w:color w:val="auto"/>
                <w:sz w:val="24"/>
                <w:lang w:val="en-US" w:eastAsia="zh-CN"/>
              </w:rPr>
              <w:t>11</w:t>
            </w:r>
            <w:r>
              <w:rPr>
                <w:rFonts w:hint="default" w:ascii="Times New Roman" w:hAnsi="Times New Roman" w:cs="Times New Roman"/>
                <w:bCs/>
                <w:color w:val="auto"/>
                <w:sz w:val="24"/>
              </w:rPr>
              <w:t>枚</w:t>
            </w:r>
          </w:p>
        </w:tc>
        <w:tc>
          <w:tcPr>
            <w:tcW w:w="1043" w:type="dxa"/>
            <w:vMerge w:val="continue"/>
            <w:vAlign w:val="center"/>
          </w:tcPr>
          <w:p>
            <w:pPr>
              <w:pStyle w:val="2"/>
              <w:spacing w:line="240" w:lineRule="auto"/>
              <w:ind w:firstLine="0" w:firstLineChars="0"/>
              <w:jc w:val="center"/>
              <w:rPr>
                <w:rFonts w:hint="default" w:ascii="Times New Roman" w:hAnsi="Times New Roman"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restart"/>
            <w:vAlign w:val="center"/>
          </w:tcPr>
          <w:p>
            <w:pPr>
              <w:pStyle w:val="2"/>
              <w:spacing w:line="240" w:lineRule="auto"/>
              <w:ind w:firstLine="0" w:firstLineChars="0"/>
              <w:jc w:val="center"/>
              <w:rPr>
                <w:rFonts w:hint="default" w:ascii="Times New Roman" w:hAnsi="Times New Roman" w:cs="Times New Roman"/>
                <w:color w:val="auto"/>
                <w:sz w:val="24"/>
              </w:rPr>
            </w:pPr>
            <w:r>
              <w:rPr>
                <w:rFonts w:hint="default" w:ascii="Times New Roman" w:hAnsi="Times New Roman" w:cs="Times New Roman"/>
                <w:color w:val="auto"/>
                <w:sz w:val="24"/>
              </w:rPr>
              <w:t>2</w:t>
            </w:r>
          </w:p>
        </w:tc>
        <w:tc>
          <w:tcPr>
            <w:tcW w:w="1712" w:type="dxa"/>
            <w:vMerge w:val="restart"/>
            <w:vAlign w:val="center"/>
          </w:tcPr>
          <w:p>
            <w:pPr>
              <w:pStyle w:val="2"/>
              <w:spacing w:line="240" w:lineRule="auto"/>
              <w:ind w:firstLine="0" w:firstLineChars="0"/>
              <w:jc w:val="center"/>
              <w:rPr>
                <w:rFonts w:hint="default" w:ascii="Times New Roman" w:hAnsi="Times New Roman" w:cs="Times New Roman"/>
                <w:color w:val="auto"/>
                <w:sz w:val="24"/>
              </w:rPr>
            </w:pPr>
            <w:r>
              <w:rPr>
                <w:rFonts w:hint="default" w:ascii="Times New Roman" w:hAnsi="Times New Roman" w:cs="Times New Roman"/>
                <w:color w:val="auto"/>
                <w:sz w:val="24"/>
                <w:lang w:val="en-US" w:eastAsia="zh-CN"/>
              </w:rPr>
              <w:t>II类</w:t>
            </w:r>
            <w:r>
              <w:rPr>
                <w:rFonts w:hint="default" w:ascii="Times New Roman" w:hAnsi="Times New Roman" w:cs="Times New Roman"/>
                <w:color w:val="auto"/>
                <w:sz w:val="24"/>
              </w:rPr>
              <w:t>射线装置</w:t>
            </w:r>
          </w:p>
        </w:tc>
        <w:tc>
          <w:tcPr>
            <w:tcW w:w="2682" w:type="dxa"/>
            <w:vMerge w:val="restart"/>
            <w:vAlign w:val="center"/>
          </w:tcPr>
          <w:p>
            <w:pPr>
              <w:pStyle w:val="2"/>
              <w:spacing w:line="240" w:lineRule="auto"/>
              <w:ind w:firstLine="0" w:firstLineChars="0"/>
              <w:jc w:val="center"/>
              <w:rPr>
                <w:rFonts w:hint="default" w:ascii="Times New Roman" w:hAnsi="Times New Roman" w:cs="Times New Roman"/>
                <w:color w:val="auto"/>
                <w:sz w:val="24"/>
              </w:rPr>
            </w:pPr>
            <w:r>
              <w:rPr>
                <w:rFonts w:hint="default" w:ascii="Times New Roman" w:hAnsi="Times New Roman" w:cs="Times New Roman"/>
                <w:color w:val="auto"/>
                <w:sz w:val="24"/>
                <w:lang w:val="en-US" w:eastAsia="zh-CN"/>
              </w:rPr>
              <w:t>10</w:t>
            </w:r>
            <w:r>
              <w:rPr>
                <w:rFonts w:hint="default" w:ascii="Times New Roman" w:hAnsi="Times New Roman" w:cs="Times New Roman"/>
                <w:color w:val="auto"/>
                <w:sz w:val="24"/>
              </w:rPr>
              <w:t>家</w:t>
            </w:r>
          </w:p>
        </w:tc>
        <w:tc>
          <w:tcPr>
            <w:tcW w:w="1134" w:type="dxa"/>
            <w:vAlign w:val="center"/>
          </w:tcPr>
          <w:p>
            <w:pPr>
              <w:pStyle w:val="2"/>
              <w:spacing w:line="240" w:lineRule="auto"/>
              <w:ind w:firstLine="0" w:firstLineChars="0"/>
              <w:jc w:val="center"/>
              <w:rPr>
                <w:rFonts w:hint="default" w:ascii="Times New Roman" w:hAnsi="Times New Roman" w:cs="Times New Roman"/>
                <w:color w:val="auto"/>
                <w:sz w:val="24"/>
              </w:rPr>
            </w:pPr>
            <w:r>
              <w:rPr>
                <w:rFonts w:hint="default" w:ascii="Times New Roman" w:hAnsi="Times New Roman" w:eastAsia="宋体" w:cs="Times New Roman"/>
                <w:color w:val="auto"/>
                <w:sz w:val="24"/>
              </w:rPr>
              <w:t>Ⅱ</w:t>
            </w:r>
            <w:r>
              <w:rPr>
                <w:rFonts w:hint="default" w:ascii="Times New Roman" w:hAnsi="Times New Roman" w:cs="Times New Roman"/>
                <w:color w:val="auto"/>
                <w:sz w:val="24"/>
              </w:rPr>
              <w:t>类</w:t>
            </w:r>
          </w:p>
        </w:tc>
        <w:tc>
          <w:tcPr>
            <w:tcW w:w="1134" w:type="dxa"/>
            <w:vAlign w:val="center"/>
          </w:tcPr>
          <w:p>
            <w:pPr>
              <w:pStyle w:val="2"/>
              <w:spacing w:line="240" w:lineRule="auto"/>
              <w:ind w:firstLine="0" w:firstLineChars="0"/>
              <w:jc w:val="center"/>
              <w:rPr>
                <w:rFonts w:hint="default" w:ascii="Times New Roman" w:hAnsi="Times New Roman" w:cs="Times New Roman"/>
                <w:color w:val="auto"/>
                <w:sz w:val="24"/>
              </w:rPr>
            </w:pPr>
            <w:r>
              <w:rPr>
                <w:rFonts w:hint="default" w:ascii="Times New Roman" w:hAnsi="Times New Roman" w:cs="Times New Roman"/>
                <w:color w:val="auto"/>
                <w:sz w:val="24"/>
                <w:lang w:val="en-US" w:eastAsia="zh-CN"/>
              </w:rPr>
              <w:t>8</w:t>
            </w:r>
            <w:r>
              <w:rPr>
                <w:rFonts w:hint="default" w:ascii="Times New Roman" w:hAnsi="Times New Roman" w:cs="Times New Roman"/>
                <w:color w:val="auto"/>
                <w:sz w:val="24"/>
              </w:rPr>
              <w:t>台</w:t>
            </w:r>
          </w:p>
        </w:tc>
        <w:tc>
          <w:tcPr>
            <w:tcW w:w="1043" w:type="dxa"/>
            <w:vMerge w:val="restart"/>
            <w:vAlign w:val="center"/>
          </w:tcPr>
          <w:p>
            <w:pPr>
              <w:pStyle w:val="2"/>
              <w:spacing w:line="240" w:lineRule="auto"/>
              <w:ind w:firstLine="0" w:firstLineChars="0"/>
              <w:jc w:val="center"/>
              <w:rPr>
                <w:rFonts w:hint="default" w:ascii="Times New Roman" w:hAnsi="Times New Roman" w:cs="Times New Roman"/>
                <w:color w:val="auto"/>
                <w:sz w:val="24"/>
              </w:rPr>
            </w:pPr>
            <w:r>
              <w:rPr>
                <w:rFonts w:hint="default" w:ascii="Times New Roman" w:hAnsi="Times New Roman" w:cs="Times New Roman"/>
                <w:color w:val="auto"/>
                <w:sz w:val="24"/>
                <w:lang w:val="en-US" w:eastAsia="zh-CN"/>
              </w:rPr>
              <w:t>29</w:t>
            </w:r>
            <w:r>
              <w:rPr>
                <w:rFonts w:hint="default" w:ascii="Times New Roman" w:hAnsi="Times New Roman" w:cs="Times New Roman"/>
                <w:color w:val="auto"/>
                <w:sz w:val="24"/>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vAlign w:val="center"/>
          </w:tcPr>
          <w:p>
            <w:pPr>
              <w:pStyle w:val="2"/>
              <w:spacing w:line="240" w:lineRule="auto"/>
              <w:ind w:firstLine="0" w:firstLineChars="0"/>
              <w:jc w:val="center"/>
              <w:rPr>
                <w:rFonts w:hint="default" w:ascii="Times New Roman" w:hAnsi="Times New Roman" w:cs="Times New Roman"/>
                <w:color w:val="auto"/>
                <w:sz w:val="24"/>
              </w:rPr>
            </w:pPr>
          </w:p>
        </w:tc>
        <w:tc>
          <w:tcPr>
            <w:tcW w:w="1712" w:type="dxa"/>
            <w:vMerge w:val="continue"/>
            <w:vAlign w:val="center"/>
          </w:tcPr>
          <w:p>
            <w:pPr>
              <w:pStyle w:val="2"/>
              <w:spacing w:line="240" w:lineRule="auto"/>
              <w:ind w:firstLine="0" w:firstLineChars="0"/>
              <w:jc w:val="center"/>
              <w:rPr>
                <w:rFonts w:hint="default" w:ascii="Times New Roman" w:hAnsi="Times New Roman" w:cs="Times New Roman"/>
                <w:color w:val="auto"/>
                <w:sz w:val="24"/>
              </w:rPr>
            </w:pPr>
          </w:p>
        </w:tc>
        <w:tc>
          <w:tcPr>
            <w:tcW w:w="2682" w:type="dxa"/>
            <w:vMerge w:val="continue"/>
            <w:vAlign w:val="center"/>
          </w:tcPr>
          <w:p>
            <w:pPr>
              <w:pStyle w:val="2"/>
              <w:spacing w:line="240" w:lineRule="auto"/>
              <w:ind w:firstLine="0" w:firstLineChars="0"/>
              <w:jc w:val="center"/>
              <w:rPr>
                <w:rFonts w:hint="default" w:ascii="Times New Roman" w:hAnsi="Times New Roman" w:cs="Times New Roman"/>
                <w:color w:val="auto"/>
                <w:sz w:val="24"/>
              </w:rPr>
            </w:pPr>
          </w:p>
        </w:tc>
        <w:tc>
          <w:tcPr>
            <w:tcW w:w="1134" w:type="dxa"/>
            <w:vAlign w:val="center"/>
          </w:tcPr>
          <w:p>
            <w:pPr>
              <w:pStyle w:val="2"/>
              <w:spacing w:line="240" w:lineRule="auto"/>
              <w:ind w:firstLine="0" w:firstLineChars="0"/>
              <w:jc w:val="center"/>
              <w:rPr>
                <w:rFonts w:hint="default" w:ascii="Times New Roman" w:hAnsi="Times New Roman" w:cs="Times New Roman"/>
                <w:color w:val="auto"/>
                <w:sz w:val="24"/>
              </w:rPr>
            </w:pPr>
            <w:r>
              <w:rPr>
                <w:rFonts w:hint="default" w:ascii="Times New Roman" w:hAnsi="Times New Roman" w:eastAsia="宋体" w:cs="Times New Roman"/>
                <w:color w:val="auto"/>
                <w:sz w:val="24"/>
              </w:rPr>
              <w:t>Ⅲ</w:t>
            </w:r>
            <w:r>
              <w:rPr>
                <w:rFonts w:hint="default" w:ascii="Times New Roman" w:hAnsi="Times New Roman" w:cs="Times New Roman"/>
                <w:color w:val="auto"/>
                <w:sz w:val="24"/>
              </w:rPr>
              <w:t>类</w:t>
            </w:r>
          </w:p>
        </w:tc>
        <w:tc>
          <w:tcPr>
            <w:tcW w:w="1134" w:type="dxa"/>
            <w:vAlign w:val="center"/>
          </w:tcPr>
          <w:p>
            <w:pPr>
              <w:pStyle w:val="2"/>
              <w:spacing w:line="240" w:lineRule="auto"/>
              <w:ind w:firstLine="0" w:firstLineChars="0"/>
              <w:jc w:val="center"/>
              <w:rPr>
                <w:rFonts w:hint="default" w:ascii="Times New Roman" w:hAnsi="Times New Roman" w:cs="Times New Roman"/>
                <w:color w:val="auto"/>
                <w:sz w:val="24"/>
              </w:rPr>
            </w:pPr>
            <w:r>
              <w:rPr>
                <w:rFonts w:hint="default" w:ascii="Times New Roman" w:hAnsi="Times New Roman" w:cs="Times New Roman"/>
                <w:color w:val="auto"/>
                <w:sz w:val="24"/>
                <w:lang w:val="en-US" w:eastAsia="zh-CN"/>
              </w:rPr>
              <w:t>21</w:t>
            </w:r>
            <w:r>
              <w:rPr>
                <w:rFonts w:hint="default" w:ascii="Times New Roman" w:hAnsi="Times New Roman" w:cs="Times New Roman"/>
                <w:color w:val="auto"/>
                <w:sz w:val="24"/>
              </w:rPr>
              <w:t>台</w:t>
            </w:r>
          </w:p>
        </w:tc>
        <w:tc>
          <w:tcPr>
            <w:tcW w:w="1043" w:type="dxa"/>
            <w:vMerge w:val="continue"/>
            <w:vAlign w:val="center"/>
          </w:tcPr>
          <w:p>
            <w:pPr>
              <w:pStyle w:val="2"/>
              <w:spacing w:line="240" w:lineRule="auto"/>
              <w:ind w:firstLine="0" w:firstLineChars="0"/>
              <w:jc w:val="center"/>
              <w:rPr>
                <w:rFonts w:hint="default" w:ascii="Times New Roman" w:hAnsi="Times New Roman"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restart"/>
            <w:vAlign w:val="center"/>
          </w:tcPr>
          <w:p>
            <w:pPr>
              <w:pStyle w:val="2"/>
              <w:spacing w:line="240" w:lineRule="auto"/>
              <w:ind w:firstLine="0" w:firstLineChars="0"/>
              <w:jc w:val="center"/>
              <w:rPr>
                <w:rFonts w:hint="default" w:ascii="Times New Roman" w:hAnsi="Times New Roman" w:cs="Times New Roman"/>
                <w:color w:val="auto"/>
                <w:sz w:val="24"/>
              </w:rPr>
            </w:pPr>
            <w:r>
              <w:rPr>
                <w:rFonts w:hint="default" w:ascii="Times New Roman" w:hAnsi="Times New Roman" w:cs="Times New Roman"/>
                <w:color w:val="auto"/>
                <w:sz w:val="24"/>
              </w:rPr>
              <w:t>3</w:t>
            </w:r>
          </w:p>
        </w:tc>
        <w:tc>
          <w:tcPr>
            <w:tcW w:w="1712" w:type="dxa"/>
            <w:vMerge w:val="restart"/>
            <w:vAlign w:val="center"/>
          </w:tcPr>
          <w:p>
            <w:pPr>
              <w:pStyle w:val="2"/>
              <w:spacing w:line="240" w:lineRule="auto"/>
              <w:ind w:firstLine="0" w:firstLineChars="0"/>
              <w:jc w:val="center"/>
              <w:rPr>
                <w:rFonts w:hint="default" w:ascii="Times New Roman" w:hAnsi="Times New Roman" w:cs="Times New Roman"/>
                <w:color w:val="auto"/>
                <w:sz w:val="24"/>
              </w:rPr>
            </w:pPr>
            <w:r>
              <w:rPr>
                <w:rFonts w:hint="default" w:ascii="Times New Roman" w:hAnsi="Times New Roman" w:cs="Times New Roman"/>
                <w:color w:val="auto"/>
                <w:sz w:val="24"/>
              </w:rPr>
              <w:t>通信基站</w:t>
            </w:r>
          </w:p>
        </w:tc>
        <w:tc>
          <w:tcPr>
            <w:tcW w:w="2682" w:type="dxa"/>
            <w:vMerge w:val="restart"/>
            <w:vAlign w:val="center"/>
          </w:tcPr>
          <w:p>
            <w:pPr>
              <w:pStyle w:val="2"/>
              <w:spacing w:line="240" w:lineRule="auto"/>
              <w:ind w:firstLine="0" w:firstLineChars="0"/>
              <w:jc w:val="center"/>
              <w:rPr>
                <w:rFonts w:hint="default" w:ascii="Times New Roman" w:hAnsi="Times New Roman" w:cs="Times New Roman"/>
                <w:color w:val="auto"/>
                <w:sz w:val="24"/>
              </w:rPr>
            </w:pPr>
            <w:r>
              <w:rPr>
                <w:rFonts w:hint="default" w:ascii="Times New Roman" w:hAnsi="Times New Roman" w:cs="Times New Roman"/>
                <w:color w:val="auto"/>
                <w:sz w:val="24"/>
              </w:rPr>
              <w:t>3家</w:t>
            </w:r>
          </w:p>
        </w:tc>
        <w:tc>
          <w:tcPr>
            <w:tcW w:w="1134" w:type="dxa"/>
            <w:vAlign w:val="center"/>
          </w:tcPr>
          <w:p>
            <w:pPr>
              <w:pStyle w:val="2"/>
              <w:spacing w:line="240" w:lineRule="auto"/>
              <w:ind w:firstLine="0" w:firstLineChars="0"/>
              <w:jc w:val="center"/>
              <w:rPr>
                <w:rFonts w:hint="default" w:ascii="Times New Roman" w:hAnsi="Times New Roman" w:cs="Times New Roman"/>
                <w:color w:val="auto"/>
                <w:sz w:val="24"/>
              </w:rPr>
            </w:pPr>
            <w:r>
              <w:rPr>
                <w:rFonts w:hint="default" w:ascii="Times New Roman" w:hAnsi="Times New Roman" w:cs="Times New Roman"/>
                <w:color w:val="auto"/>
                <w:sz w:val="24"/>
              </w:rPr>
              <w:t>移动</w:t>
            </w:r>
          </w:p>
        </w:tc>
        <w:tc>
          <w:tcPr>
            <w:tcW w:w="1134" w:type="dxa"/>
            <w:vAlign w:val="center"/>
          </w:tcPr>
          <w:p>
            <w:pPr>
              <w:pStyle w:val="2"/>
              <w:spacing w:line="240" w:lineRule="auto"/>
              <w:ind w:firstLine="0" w:firstLineChars="0"/>
              <w:jc w:val="center"/>
              <w:rPr>
                <w:rFonts w:hint="default" w:ascii="Times New Roman" w:hAnsi="Times New Roman" w:cs="Times New Roman"/>
                <w:color w:val="auto"/>
                <w:sz w:val="24"/>
              </w:rPr>
            </w:pPr>
            <w:r>
              <w:rPr>
                <w:rFonts w:hint="default" w:ascii="Times New Roman" w:hAnsi="Times New Roman" w:cs="Times New Roman"/>
                <w:color w:val="auto"/>
                <w:sz w:val="24"/>
                <w:lang w:val="en-US" w:eastAsia="zh-CN"/>
              </w:rPr>
              <w:t>8</w:t>
            </w:r>
            <w:r>
              <w:rPr>
                <w:rFonts w:hint="default" w:ascii="Times New Roman" w:hAnsi="Times New Roman" w:cs="Times New Roman"/>
                <w:color w:val="auto"/>
                <w:sz w:val="24"/>
              </w:rPr>
              <w:t>座</w:t>
            </w:r>
          </w:p>
        </w:tc>
        <w:tc>
          <w:tcPr>
            <w:tcW w:w="1043" w:type="dxa"/>
            <w:vMerge w:val="restart"/>
            <w:vAlign w:val="center"/>
          </w:tcPr>
          <w:p>
            <w:pPr>
              <w:pStyle w:val="2"/>
              <w:spacing w:line="240" w:lineRule="auto"/>
              <w:ind w:firstLine="0" w:firstLineChars="0"/>
              <w:jc w:val="center"/>
              <w:rPr>
                <w:rFonts w:hint="default" w:ascii="Times New Roman" w:hAnsi="Times New Roman" w:cs="Times New Roman"/>
                <w:color w:val="auto"/>
                <w:sz w:val="24"/>
              </w:rPr>
            </w:pPr>
            <w:r>
              <w:rPr>
                <w:rFonts w:hint="default" w:ascii="Times New Roman" w:hAnsi="Times New Roman" w:cs="Times New Roman"/>
                <w:color w:val="auto"/>
                <w:sz w:val="24"/>
                <w:lang w:val="en-US" w:eastAsia="zh-CN"/>
              </w:rPr>
              <w:t>20</w:t>
            </w:r>
            <w:r>
              <w:rPr>
                <w:rFonts w:hint="default" w:ascii="Times New Roman" w:hAnsi="Times New Roman" w:cs="Times New Roman"/>
                <w:color w:val="auto"/>
                <w:sz w:val="24"/>
              </w:rPr>
              <w:t>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vAlign w:val="center"/>
          </w:tcPr>
          <w:p>
            <w:pPr>
              <w:pStyle w:val="2"/>
              <w:spacing w:line="240" w:lineRule="auto"/>
              <w:ind w:firstLine="0" w:firstLineChars="0"/>
              <w:jc w:val="center"/>
              <w:rPr>
                <w:rFonts w:hint="default" w:ascii="Times New Roman" w:hAnsi="Times New Roman" w:cs="Times New Roman"/>
                <w:color w:val="auto"/>
                <w:sz w:val="24"/>
              </w:rPr>
            </w:pPr>
          </w:p>
        </w:tc>
        <w:tc>
          <w:tcPr>
            <w:tcW w:w="1712" w:type="dxa"/>
            <w:vMerge w:val="continue"/>
            <w:vAlign w:val="center"/>
          </w:tcPr>
          <w:p>
            <w:pPr>
              <w:pStyle w:val="2"/>
              <w:spacing w:line="240" w:lineRule="auto"/>
              <w:ind w:firstLine="0" w:firstLineChars="0"/>
              <w:jc w:val="center"/>
              <w:rPr>
                <w:rFonts w:hint="default" w:ascii="Times New Roman" w:hAnsi="Times New Roman" w:cs="Times New Roman"/>
                <w:color w:val="auto"/>
                <w:sz w:val="24"/>
              </w:rPr>
            </w:pPr>
          </w:p>
        </w:tc>
        <w:tc>
          <w:tcPr>
            <w:tcW w:w="2682" w:type="dxa"/>
            <w:vMerge w:val="continue"/>
            <w:vAlign w:val="center"/>
          </w:tcPr>
          <w:p>
            <w:pPr>
              <w:pStyle w:val="2"/>
              <w:spacing w:line="240" w:lineRule="auto"/>
              <w:ind w:firstLine="0" w:firstLineChars="0"/>
              <w:jc w:val="center"/>
              <w:rPr>
                <w:rFonts w:hint="default" w:ascii="Times New Roman" w:hAnsi="Times New Roman" w:cs="Times New Roman"/>
                <w:color w:val="auto"/>
                <w:sz w:val="24"/>
              </w:rPr>
            </w:pPr>
          </w:p>
        </w:tc>
        <w:tc>
          <w:tcPr>
            <w:tcW w:w="1134" w:type="dxa"/>
            <w:vAlign w:val="center"/>
          </w:tcPr>
          <w:p>
            <w:pPr>
              <w:pStyle w:val="2"/>
              <w:spacing w:line="240" w:lineRule="auto"/>
              <w:ind w:firstLine="0" w:firstLineChars="0"/>
              <w:jc w:val="center"/>
              <w:rPr>
                <w:rFonts w:hint="default" w:ascii="Times New Roman" w:hAnsi="Times New Roman" w:cs="Times New Roman"/>
                <w:color w:val="auto"/>
                <w:sz w:val="24"/>
              </w:rPr>
            </w:pPr>
            <w:r>
              <w:rPr>
                <w:rFonts w:hint="default" w:ascii="Times New Roman" w:hAnsi="Times New Roman" w:cs="Times New Roman"/>
                <w:color w:val="auto"/>
                <w:sz w:val="24"/>
              </w:rPr>
              <w:t>联通</w:t>
            </w:r>
          </w:p>
        </w:tc>
        <w:tc>
          <w:tcPr>
            <w:tcW w:w="1134" w:type="dxa"/>
            <w:vMerge w:val="restart"/>
            <w:vAlign w:val="center"/>
          </w:tcPr>
          <w:p>
            <w:pPr>
              <w:pStyle w:val="2"/>
              <w:spacing w:line="240" w:lineRule="auto"/>
              <w:ind w:firstLine="0" w:firstLineChars="0"/>
              <w:jc w:val="center"/>
              <w:rPr>
                <w:rFonts w:hint="default" w:ascii="Times New Roman" w:hAnsi="Times New Roman" w:cs="Times New Roman"/>
                <w:color w:val="auto"/>
                <w:sz w:val="24"/>
              </w:rPr>
            </w:pPr>
            <w:r>
              <w:rPr>
                <w:rFonts w:hint="default" w:ascii="Times New Roman" w:hAnsi="Times New Roman" w:cs="Times New Roman"/>
                <w:color w:val="auto"/>
                <w:sz w:val="24"/>
              </w:rPr>
              <w:t>1</w:t>
            </w:r>
            <w:r>
              <w:rPr>
                <w:rFonts w:hint="default" w:ascii="Times New Roman" w:hAnsi="Times New Roman" w:cs="Times New Roman"/>
                <w:color w:val="auto"/>
                <w:sz w:val="24"/>
                <w:lang w:val="en-US" w:eastAsia="zh-CN"/>
              </w:rPr>
              <w:t>2</w:t>
            </w:r>
            <w:r>
              <w:rPr>
                <w:rFonts w:hint="default" w:ascii="Times New Roman" w:hAnsi="Times New Roman" w:cs="Times New Roman"/>
                <w:color w:val="auto"/>
                <w:sz w:val="24"/>
              </w:rPr>
              <w:t>座</w:t>
            </w:r>
          </w:p>
        </w:tc>
        <w:tc>
          <w:tcPr>
            <w:tcW w:w="1043" w:type="dxa"/>
            <w:vMerge w:val="continue"/>
            <w:vAlign w:val="center"/>
          </w:tcPr>
          <w:p>
            <w:pPr>
              <w:pStyle w:val="2"/>
              <w:spacing w:line="240" w:lineRule="auto"/>
              <w:ind w:firstLine="0" w:firstLineChars="0"/>
              <w:jc w:val="center"/>
              <w:rPr>
                <w:rFonts w:hint="default" w:ascii="Times New Roman" w:hAnsi="Times New Roman"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vAlign w:val="center"/>
          </w:tcPr>
          <w:p>
            <w:pPr>
              <w:pStyle w:val="2"/>
              <w:spacing w:line="240" w:lineRule="auto"/>
              <w:ind w:firstLine="0" w:firstLineChars="0"/>
              <w:jc w:val="center"/>
              <w:rPr>
                <w:rFonts w:hint="default" w:ascii="Times New Roman" w:hAnsi="Times New Roman" w:cs="Times New Roman"/>
                <w:color w:val="auto"/>
                <w:sz w:val="24"/>
              </w:rPr>
            </w:pPr>
          </w:p>
        </w:tc>
        <w:tc>
          <w:tcPr>
            <w:tcW w:w="1712" w:type="dxa"/>
            <w:vMerge w:val="continue"/>
            <w:vAlign w:val="center"/>
          </w:tcPr>
          <w:p>
            <w:pPr>
              <w:pStyle w:val="2"/>
              <w:spacing w:line="240" w:lineRule="auto"/>
              <w:ind w:firstLine="0" w:firstLineChars="0"/>
              <w:jc w:val="center"/>
              <w:rPr>
                <w:rFonts w:hint="default" w:ascii="Times New Roman" w:hAnsi="Times New Roman" w:cs="Times New Roman"/>
                <w:color w:val="auto"/>
                <w:sz w:val="24"/>
              </w:rPr>
            </w:pPr>
          </w:p>
        </w:tc>
        <w:tc>
          <w:tcPr>
            <w:tcW w:w="2682" w:type="dxa"/>
            <w:vMerge w:val="continue"/>
            <w:vAlign w:val="center"/>
          </w:tcPr>
          <w:p>
            <w:pPr>
              <w:pStyle w:val="2"/>
              <w:spacing w:line="240" w:lineRule="auto"/>
              <w:ind w:firstLine="0" w:firstLineChars="0"/>
              <w:jc w:val="center"/>
              <w:rPr>
                <w:rFonts w:hint="default" w:ascii="Times New Roman" w:hAnsi="Times New Roman" w:cs="Times New Roman"/>
                <w:color w:val="auto"/>
                <w:sz w:val="24"/>
              </w:rPr>
            </w:pPr>
          </w:p>
        </w:tc>
        <w:tc>
          <w:tcPr>
            <w:tcW w:w="1134" w:type="dxa"/>
            <w:vAlign w:val="center"/>
          </w:tcPr>
          <w:p>
            <w:pPr>
              <w:pStyle w:val="2"/>
              <w:spacing w:line="240" w:lineRule="auto"/>
              <w:ind w:firstLine="0" w:firstLineChars="0"/>
              <w:jc w:val="center"/>
              <w:rPr>
                <w:rFonts w:hint="default" w:ascii="Times New Roman" w:hAnsi="Times New Roman" w:cs="Times New Roman"/>
                <w:color w:val="auto"/>
                <w:sz w:val="24"/>
              </w:rPr>
            </w:pPr>
            <w:r>
              <w:rPr>
                <w:rFonts w:hint="default" w:ascii="Times New Roman" w:hAnsi="Times New Roman" w:cs="Times New Roman"/>
                <w:color w:val="auto"/>
                <w:sz w:val="24"/>
              </w:rPr>
              <w:t>电信</w:t>
            </w:r>
          </w:p>
        </w:tc>
        <w:tc>
          <w:tcPr>
            <w:tcW w:w="1134" w:type="dxa"/>
            <w:vMerge w:val="continue"/>
            <w:vAlign w:val="center"/>
          </w:tcPr>
          <w:p>
            <w:pPr>
              <w:pStyle w:val="2"/>
              <w:spacing w:line="240" w:lineRule="auto"/>
              <w:ind w:firstLine="0" w:firstLineChars="0"/>
              <w:jc w:val="center"/>
              <w:rPr>
                <w:rFonts w:hint="default" w:ascii="Times New Roman" w:hAnsi="Times New Roman" w:cs="Times New Roman"/>
                <w:color w:val="auto"/>
                <w:sz w:val="24"/>
              </w:rPr>
            </w:pPr>
          </w:p>
        </w:tc>
        <w:tc>
          <w:tcPr>
            <w:tcW w:w="1043" w:type="dxa"/>
            <w:vMerge w:val="continue"/>
            <w:vAlign w:val="center"/>
          </w:tcPr>
          <w:p>
            <w:pPr>
              <w:pStyle w:val="2"/>
              <w:spacing w:line="240" w:lineRule="auto"/>
              <w:ind w:firstLine="0" w:firstLineChars="0"/>
              <w:jc w:val="center"/>
              <w:rPr>
                <w:rFonts w:hint="default" w:ascii="Times New Roman" w:hAnsi="Times New Roman" w:cs="Times New Roman"/>
                <w:color w:val="auto"/>
                <w:sz w:val="24"/>
              </w:rPr>
            </w:pPr>
          </w:p>
        </w:tc>
      </w:tr>
    </w:tbl>
    <w:p>
      <w:pPr>
        <w:ind w:firstLine="560"/>
        <w:rPr>
          <w:rFonts w:hint="default" w:ascii="Times New Roman" w:hAnsi="Times New Roman" w:cs="Times New Roman"/>
          <w:color w:val="auto"/>
        </w:rPr>
      </w:pPr>
      <w:r>
        <w:rPr>
          <w:rFonts w:hint="default" w:ascii="Times New Roman" w:hAnsi="Times New Roman" w:cs="Times New Roman"/>
          <w:color w:val="auto"/>
        </w:rPr>
        <w:t>密封放射源和射线装置核技术利用单位分布见图1-1。</w:t>
      </w:r>
    </w:p>
    <w:p>
      <w:pPr>
        <w:ind w:firstLine="0" w:firstLineChars="0"/>
        <w:jc w:val="center"/>
        <w:rPr>
          <w:rFonts w:hint="default" w:ascii="Times New Roman" w:hAnsi="Times New Roman" w:eastAsia="黑体" w:cs="Times New Roman"/>
          <w:color w:val="auto"/>
          <w:sz w:val="24"/>
          <w:lang w:eastAsia="zh-CN"/>
        </w:rPr>
      </w:pPr>
      <w:r>
        <w:rPr>
          <w:rFonts w:hint="default" w:ascii="Times New Roman" w:hAnsi="Times New Roman" w:eastAsia="黑体" w:cs="Times New Roman"/>
          <w:color w:val="auto"/>
          <w:sz w:val="24"/>
          <w:lang w:eastAsia="zh-CN"/>
        </w:rPr>
        <w:drawing>
          <wp:inline distT="0" distB="0" distL="114300" distR="114300">
            <wp:extent cx="5459730" cy="4360545"/>
            <wp:effectExtent l="0" t="0" r="7620" b="1905"/>
            <wp:docPr id="3" name="图片 3"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1"/>
                    <pic:cNvPicPr>
                      <a:picLocks noChangeAspect="1"/>
                    </pic:cNvPicPr>
                  </pic:nvPicPr>
                  <pic:blipFill>
                    <a:blip r:embed="rId13"/>
                    <a:stretch>
                      <a:fillRect/>
                    </a:stretch>
                  </pic:blipFill>
                  <pic:spPr>
                    <a:xfrm>
                      <a:off x="0" y="0"/>
                      <a:ext cx="5459730" cy="4360545"/>
                    </a:xfrm>
                    <a:prstGeom prst="rect">
                      <a:avLst/>
                    </a:prstGeom>
                  </pic:spPr>
                </pic:pic>
              </a:graphicData>
            </a:graphic>
          </wp:inline>
        </w:drawing>
      </w:r>
    </w:p>
    <w:p>
      <w:pPr>
        <w:spacing w:line="240" w:lineRule="auto"/>
        <w:ind w:firstLine="0" w:firstLineChars="0"/>
        <w:jc w:val="center"/>
        <w:rPr>
          <w:rFonts w:hint="default" w:ascii="Times New Roman" w:hAnsi="Times New Roman" w:cs="Times New Roman"/>
          <w:color w:val="auto"/>
        </w:rPr>
      </w:pPr>
      <w:r>
        <w:rPr>
          <w:rFonts w:hint="default" w:ascii="Times New Roman" w:hAnsi="Times New Roman" w:eastAsia="黑体" w:cs="Times New Roman"/>
          <w:color w:val="auto"/>
          <w:sz w:val="24"/>
        </w:rPr>
        <w:t>图1-1  本项目密封放射源和射线装置核技术利用单位分布图</w:t>
      </w:r>
    </w:p>
    <w:p>
      <w:pPr>
        <w:pStyle w:val="5"/>
        <w:ind w:left="0" w:leftChars="0" w:firstLine="0" w:firstLineChars="0"/>
        <w:rPr>
          <w:rFonts w:hint="default" w:ascii="Times New Roman" w:hAnsi="Times New Roman" w:cs="Times New Roman"/>
          <w:color w:val="auto"/>
        </w:rPr>
      </w:pPr>
      <w:bookmarkStart w:id="4" w:name="_Toc119252456"/>
      <w:bookmarkStart w:id="5" w:name="_Toc119252502"/>
      <w:bookmarkStart w:id="6" w:name="_Toc118884534"/>
      <w:bookmarkStart w:id="7" w:name="_Toc5754"/>
      <w:r>
        <w:rPr>
          <w:rFonts w:hint="default" w:ascii="Times New Roman" w:hAnsi="Times New Roman" w:cs="Times New Roman"/>
          <w:color w:val="auto"/>
        </w:rPr>
        <w:t>1.2.1密封放射源</w:t>
      </w:r>
      <w:bookmarkEnd w:id="4"/>
      <w:bookmarkEnd w:id="5"/>
      <w:bookmarkEnd w:id="6"/>
      <w:bookmarkEnd w:id="7"/>
    </w:p>
    <w:p>
      <w:pPr>
        <w:ind w:firstLine="560"/>
        <w:rPr>
          <w:rFonts w:hint="default" w:ascii="Times New Roman" w:hAnsi="Times New Roman" w:cs="Times New Roman"/>
          <w:color w:val="auto"/>
        </w:rPr>
      </w:pPr>
      <w:r>
        <w:rPr>
          <w:rFonts w:hint="default" w:ascii="Times New Roman" w:hAnsi="Times New Roman" w:cs="Times New Roman"/>
          <w:color w:val="auto"/>
          <w:lang w:eastAsia="zh-CN"/>
        </w:rPr>
        <w:t>随州</w:t>
      </w:r>
      <w:r>
        <w:rPr>
          <w:rFonts w:hint="default" w:ascii="Times New Roman" w:hAnsi="Times New Roman" w:cs="Times New Roman"/>
          <w:color w:val="auto"/>
        </w:rPr>
        <w:t>市使用密封放射源技术利用单位共有</w:t>
      </w:r>
      <w:r>
        <w:rPr>
          <w:rFonts w:hint="default" w:ascii="Times New Roman" w:hAnsi="Times New Roman" w:cs="Times New Roman"/>
          <w:color w:val="auto"/>
          <w:lang w:val="en-US" w:eastAsia="zh-CN"/>
        </w:rPr>
        <w:t>4</w:t>
      </w:r>
      <w:r>
        <w:rPr>
          <w:rFonts w:hint="default" w:ascii="Times New Roman" w:hAnsi="Times New Roman" w:cs="Times New Roman"/>
          <w:color w:val="auto"/>
        </w:rPr>
        <w:t>家，监测单位详见表1-2。</w:t>
      </w:r>
    </w:p>
    <w:p>
      <w:pPr>
        <w:pStyle w:val="2"/>
        <w:rPr>
          <w:rFonts w:hint="default" w:ascii="Times New Roman" w:hAnsi="Times New Roman" w:cs="Times New Roman"/>
          <w:color w:val="auto"/>
        </w:rPr>
      </w:pPr>
    </w:p>
    <w:p>
      <w:pPr>
        <w:ind w:firstLine="0" w:firstLineChars="0"/>
        <w:jc w:val="center"/>
        <w:rPr>
          <w:rFonts w:hint="default" w:ascii="Times New Roman" w:hAnsi="Times New Roman" w:eastAsia="黑体" w:cs="Times New Roman"/>
          <w:color w:val="auto"/>
          <w:sz w:val="24"/>
        </w:rPr>
      </w:pPr>
      <w:r>
        <w:rPr>
          <w:rFonts w:hint="default" w:ascii="Times New Roman" w:hAnsi="Times New Roman" w:eastAsia="黑体" w:cs="Times New Roman"/>
          <w:color w:val="auto"/>
          <w:sz w:val="24"/>
        </w:rPr>
        <w:t>表1-2  本项目密封放射源核技术利用单位</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4"/>
        <w:gridCol w:w="5244"/>
        <w:gridCol w:w="1276"/>
        <w:gridCol w:w="14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restart"/>
            <w:vAlign w:val="center"/>
          </w:tcPr>
          <w:p>
            <w:pPr>
              <w:spacing w:line="240" w:lineRule="auto"/>
              <w:ind w:firstLine="0" w:firstLineChars="0"/>
              <w:jc w:val="center"/>
              <w:rPr>
                <w:rFonts w:hint="default" w:ascii="Times New Roman" w:hAnsi="Times New Roman" w:cs="Times New Roman"/>
                <w:b/>
                <w:color w:val="auto"/>
                <w:sz w:val="24"/>
              </w:rPr>
            </w:pPr>
            <w:r>
              <w:rPr>
                <w:rFonts w:hint="default" w:ascii="Times New Roman" w:hAnsi="Times New Roman" w:cs="Times New Roman"/>
                <w:b/>
                <w:color w:val="auto"/>
                <w:sz w:val="24"/>
              </w:rPr>
              <w:t>序号</w:t>
            </w:r>
          </w:p>
        </w:tc>
        <w:tc>
          <w:tcPr>
            <w:tcW w:w="5244" w:type="dxa"/>
            <w:vMerge w:val="restart"/>
            <w:vAlign w:val="center"/>
          </w:tcPr>
          <w:p>
            <w:pPr>
              <w:spacing w:line="240" w:lineRule="auto"/>
              <w:ind w:firstLine="0" w:firstLineChars="0"/>
              <w:jc w:val="center"/>
              <w:rPr>
                <w:rFonts w:hint="default" w:ascii="Times New Roman" w:hAnsi="Times New Roman" w:cs="Times New Roman"/>
                <w:b/>
                <w:color w:val="auto"/>
                <w:sz w:val="24"/>
              </w:rPr>
            </w:pPr>
            <w:r>
              <w:rPr>
                <w:rFonts w:hint="default" w:ascii="Times New Roman" w:hAnsi="Times New Roman" w:cs="Times New Roman"/>
                <w:b/>
                <w:color w:val="auto"/>
                <w:sz w:val="24"/>
              </w:rPr>
              <w:t>单位名称</w:t>
            </w:r>
          </w:p>
        </w:tc>
        <w:tc>
          <w:tcPr>
            <w:tcW w:w="2744" w:type="dxa"/>
            <w:gridSpan w:val="2"/>
            <w:vAlign w:val="center"/>
          </w:tcPr>
          <w:p>
            <w:pPr>
              <w:spacing w:line="240" w:lineRule="auto"/>
              <w:ind w:firstLine="0" w:firstLineChars="0"/>
              <w:jc w:val="center"/>
              <w:rPr>
                <w:rFonts w:hint="default" w:ascii="Times New Roman" w:hAnsi="Times New Roman" w:cs="Times New Roman"/>
                <w:b/>
                <w:color w:val="auto"/>
                <w:sz w:val="24"/>
              </w:rPr>
            </w:pPr>
            <w:r>
              <w:rPr>
                <w:rFonts w:hint="default" w:ascii="Times New Roman" w:hAnsi="Times New Roman" w:cs="Times New Roman"/>
                <w:b/>
                <w:color w:val="auto"/>
                <w:sz w:val="24"/>
              </w:rPr>
              <w:t>密封放射源种类及数量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continue"/>
            <w:vAlign w:val="center"/>
          </w:tcPr>
          <w:p>
            <w:pPr>
              <w:spacing w:line="240" w:lineRule="auto"/>
              <w:ind w:firstLine="0" w:firstLineChars="0"/>
              <w:jc w:val="center"/>
              <w:rPr>
                <w:rFonts w:hint="default" w:ascii="Times New Roman" w:hAnsi="Times New Roman" w:cs="Times New Roman"/>
                <w:b/>
                <w:color w:val="auto"/>
                <w:sz w:val="24"/>
              </w:rPr>
            </w:pPr>
          </w:p>
        </w:tc>
        <w:tc>
          <w:tcPr>
            <w:tcW w:w="5244" w:type="dxa"/>
            <w:vMerge w:val="continue"/>
            <w:vAlign w:val="center"/>
          </w:tcPr>
          <w:p>
            <w:pPr>
              <w:spacing w:line="240" w:lineRule="auto"/>
              <w:ind w:firstLine="0" w:firstLineChars="0"/>
              <w:jc w:val="center"/>
              <w:rPr>
                <w:rFonts w:hint="default" w:ascii="Times New Roman" w:hAnsi="Times New Roman" w:cs="Times New Roman"/>
                <w:b/>
                <w:color w:val="auto"/>
                <w:sz w:val="24"/>
              </w:rPr>
            </w:pPr>
          </w:p>
        </w:tc>
        <w:tc>
          <w:tcPr>
            <w:tcW w:w="1276" w:type="dxa"/>
            <w:vAlign w:val="center"/>
          </w:tcPr>
          <w:p>
            <w:pPr>
              <w:spacing w:line="240" w:lineRule="auto"/>
              <w:ind w:firstLine="0" w:firstLineChars="0"/>
              <w:jc w:val="center"/>
              <w:rPr>
                <w:rFonts w:hint="default" w:ascii="Times New Roman" w:hAnsi="Times New Roman" w:cs="Times New Roman"/>
                <w:b/>
                <w:color w:val="auto"/>
                <w:sz w:val="24"/>
              </w:rPr>
            </w:pPr>
            <w:r>
              <w:rPr>
                <w:rFonts w:hint="default" w:ascii="Times New Roman" w:hAnsi="Times New Roman" w:eastAsia="宋体" w:cs="Times New Roman"/>
                <w:b/>
                <w:color w:val="auto"/>
                <w:sz w:val="24"/>
              </w:rPr>
              <w:t>Ⅳ</w:t>
            </w:r>
            <w:r>
              <w:rPr>
                <w:rFonts w:hint="default" w:ascii="Times New Roman" w:hAnsi="Times New Roman" w:cs="Times New Roman"/>
                <w:b/>
                <w:color w:val="auto"/>
                <w:sz w:val="24"/>
              </w:rPr>
              <w:t>类</w:t>
            </w:r>
          </w:p>
        </w:tc>
        <w:tc>
          <w:tcPr>
            <w:tcW w:w="1468" w:type="dxa"/>
            <w:vAlign w:val="center"/>
          </w:tcPr>
          <w:p>
            <w:pPr>
              <w:spacing w:line="240" w:lineRule="auto"/>
              <w:ind w:firstLine="0" w:firstLineChars="0"/>
              <w:jc w:val="center"/>
              <w:rPr>
                <w:rFonts w:hint="default" w:ascii="Times New Roman" w:hAnsi="Times New Roman" w:cs="Times New Roman"/>
                <w:b/>
                <w:color w:val="auto"/>
                <w:sz w:val="24"/>
              </w:rPr>
            </w:pPr>
            <w:r>
              <w:rPr>
                <w:rFonts w:hint="default" w:ascii="Times New Roman" w:hAnsi="Times New Roman" w:eastAsia="宋体" w:cs="Times New Roman"/>
                <w:b/>
                <w:color w:val="auto"/>
                <w:sz w:val="24"/>
              </w:rPr>
              <w:t>Ⅴ</w:t>
            </w:r>
            <w:r>
              <w:rPr>
                <w:rFonts w:hint="default" w:ascii="Times New Roman" w:hAnsi="Times New Roman" w:cs="Times New Roman"/>
                <w:b/>
                <w:color w:val="auto"/>
                <w:sz w:val="24"/>
              </w:rPr>
              <w:t>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534" w:type="dxa"/>
            <w:vAlign w:val="center"/>
          </w:tcPr>
          <w:p>
            <w:pPr>
              <w:spacing w:line="240" w:lineRule="auto"/>
              <w:ind w:firstLine="0" w:firstLineChars="0"/>
              <w:jc w:val="center"/>
              <w:rPr>
                <w:rFonts w:hint="default" w:ascii="Times New Roman" w:hAnsi="Times New Roman" w:cs="Times New Roman"/>
                <w:color w:val="auto"/>
                <w:sz w:val="24"/>
              </w:rPr>
            </w:pPr>
            <w:r>
              <w:rPr>
                <w:rFonts w:hint="default" w:ascii="Times New Roman" w:hAnsi="Times New Roman" w:cs="Times New Roman"/>
                <w:color w:val="auto"/>
                <w:sz w:val="24"/>
              </w:rPr>
              <w:t>1</w:t>
            </w:r>
          </w:p>
        </w:tc>
        <w:tc>
          <w:tcPr>
            <w:tcW w:w="5244" w:type="dxa"/>
            <w:vAlign w:val="center"/>
          </w:tcPr>
          <w:p>
            <w:pPr>
              <w:widowControl/>
              <w:spacing w:line="240" w:lineRule="auto"/>
              <w:ind w:firstLine="0" w:firstLineChars="0"/>
              <w:jc w:val="center"/>
              <w:rPr>
                <w:rFonts w:hint="default" w:ascii="Times New Roman" w:hAnsi="Times New Roman" w:cs="Times New Roman"/>
                <w:color w:val="auto"/>
                <w:sz w:val="24"/>
              </w:rPr>
            </w:pPr>
            <w:r>
              <w:rPr>
                <w:rFonts w:hint="default" w:ascii="Times New Roman" w:hAnsi="Times New Roman" w:cs="Times New Roman"/>
                <w:color w:val="auto"/>
                <w:sz w:val="24"/>
                <w:lang w:val="en-US" w:eastAsia="zh-CN"/>
              </w:rPr>
              <w:t>中盐银港湖北人造板有限公司</w:t>
            </w:r>
          </w:p>
        </w:tc>
        <w:tc>
          <w:tcPr>
            <w:tcW w:w="1276" w:type="dxa"/>
            <w:vAlign w:val="center"/>
          </w:tcPr>
          <w:p>
            <w:pPr>
              <w:widowControl/>
              <w:spacing w:line="240" w:lineRule="auto"/>
              <w:ind w:firstLine="0" w:firstLineChars="0"/>
              <w:jc w:val="center"/>
              <w:rPr>
                <w:rFonts w:hint="default" w:ascii="Times New Roman" w:hAnsi="Times New Roman" w:eastAsia="宋体" w:cs="Times New Roman"/>
                <w:color w:val="auto"/>
                <w:sz w:val="24"/>
                <w:lang w:eastAsia="zh-CN"/>
              </w:rPr>
            </w:pPr>
            <w:r>
              <w:rPr>
                <w:rFonts w:hint="default" w:ascii="Times New Roman" w:hAnsi="Times New Roman" w:eastAsia="宋体" w:cs="Times New Roman"/>
                <w:color w:val="auto"/>
                <w:sz w:val="24"/>
                <w:lang w:val="en-US" w:eastAsia="zh-CN"/>
              </w:rPr>
              <w:t>1</w:t>
            </w:r>
          </w:p>
        </w:tc>
        <w:tc>
          <w:tcPr>
            <w:tcW w:w="1468" w:type="dxa"/>
            <w:vAlign w:val="center"/>
          </w:tcPr>
          <w:p>
            <w:pPr>
              <w:widowControl/>
              <w:spacing w:line="240" w:lineRule="auto"/>
              <w:ind w:firstLine="0" w:firstLineChars="0"/>
              <w:jc w:val="center"/>
              <w:textAlignment w:val="center"/>
              <w:rPr>
                <w:rFonts w:hint="default" w:ascii="Times New Roman" w:hAnsi="Times New Roman" w:eastAsia="仿宋" w:cs="Times New Roman"/>
                <w:color w:val="auto"/>
                <w:sz w:val="24"/>
                <w:lang w:eastAsia="zh-CN"/>
              </w:rPr>
            </w:pPr>
            <w:r>
              <w:rPr>
                <w:rFonts w:hint="default" w:ascii="Times New Roman" w:hAnsi="Times New Roman" w:eastAsia="宋体" w:cs="Times New Roman"/>
                <w:color w:val="auto"/>
                <w:kern w:val="0"/>
                <w:sz w:val="24"/>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534" w:type="dxa"/>
            <w:vAlign w:val="center"/>
          </w:tcPr>
          <w:p>
            <w:pPr>
              <w:spacing w:line="240" w:lineRule="auto"/>
              <w:ind w:firstLine="0" w:firstLineChars="0"/>
              <w:jc w:val="center"/>
              <w:rPr>
                <w:rFonts w:hint="default" w:ascii="Times New Roman" w:hAnsi="Times New Roman" w:cs="Times New Roman"/>
                <w:color w:val="auto"/>
                <w:sz w:val="24"/>
              </w:rPr>
            </w:pPr>
            <w:r>
              <w:rPr>
                <w:rFonts w:hint="default" w:ascii="Times New Roman" w:hAnsi="Times New Roman" w:cs="Times New Roman"/>
                <w:color w:val="auto"/>
                <w:sz w:val="24"/>
              </w:rPr>
              <w:t>2</w:t>
            </w:r>
          </w:p>
        </w:tc>
        <w:tc>
          <w:tcPr>
            <w:tcW w:w="5244" w:type="dxa"/>
            <w:vAlign w:val="center"/>
          </w:tcPr>
          <w:p>
            <w:pPr>
              <w:widowControl/>
              <w:spacing w:line="240" w:lineRule="auto"/>
              <w:ind w:firstLine="0" w:firstLineChars="0"/>
              <w:jc w:val="center"/>
              <w:rPr>
                <w:rFonts w:hint="default" w:ascii="Times New Roman" w:hAnsi="Times New Roman" w:cs="Times New Roman"/>
                <w:color w:val="auto"/>
                <w:sz w:val="24"/>
              </w:rPr>
            </w:pPr>
            <w:r>
              <w:rPr>
                <w:rFonts w:hint="default" w:ascii="Times New Roman" w:hAnsi="Times New Roman" w:cs="Times New Roman"/>
                <w:color w:val="auto"/>
                <w:sz w:val="24"/>
                <w:lang w:val="en-US" w:eastAsia="zh-CN"/>
              </w:rPr>
              <w:t>广水华鑫冶金工业有限公司</w:t>
            </w:r>
          </w:p>
        </w:tc>
        <w:tc>
          <w:tcPr>
            <w:tcW w:w="1276" w:type="dxa"/>
            <w:vAlign w:val="center"/>
          </w:tcPr>
          <w:p>
            <w:pPr>
              <w:widowControl/>
              <w:spacing w:line="240" w:lineRule="auto"/>
              <w:ind w:firstLine="0" w:firstLineChars="0"/>
              <w:jc w:val="center"/>
              <w:textAlignment w:val="center"/>
              <w:rPr>
                <w:rFonts w:hint="default" w:ascii="Times New Roman" w:hAnsi="Times New Roman" w:eastAsia="仿宋" w:cs="Times New Roman"/>
                <w:color w:val="auto"/>
                <w:sz w:val="24"/>
                <w:lang w:eastAsia="zh-CN"/>
              </w:rPr>
            </w:pPr>
            <w:r>
              <w:rPr>
                <w:rFonts w:hint="default" w:ascii="Times New Roman" w:hAnsi="Times New Roman" w:eastAsia="宋体" w:cs="Times New Roman"/>
                <w:color w:val="auto"/>
                <w:kern w:val="0"/>
                <w:sz w:val="24"/>
                <w:lang w:val="en-US" w:eastAsia="zh-CN" w:bidi="ar"/>
              </w:rPr>
              <w:t>0</w:t>
            </w:r>
          </w:p>
        </w:tc>
        <w:tc>
          <w:tcPr>
            <w:tcW w:w="1468" w:type="dxa"/>
            <w:vAlign w:val="center"/>
          </w:tcPr>
          <w:p>
            <w:pPr>
              <w:widowControl/>
              <w:spacing w:line="240" w:lineRule="auto"/>
              <w:ind w:firstLine="0" w:firstLineChars="0"/>
              <w:jc w:val="center"/>
              <w:textAlignment w:val="center"/>
              <w:rPr>
                <w:rFonts w:hint="default" w:ascii="Times New Roman" w:hAnsi="Times New Roman" w:eastAsia="仿宋" w:cs="Times New Roman"/>
                <w:color w:val="auto"/>
                <w:sz w:val="24"/>
                <w:lang w:eastAsia="zh-CN"/>
              </w:rPr>
            </w:pPr>
            <w:r>
              <w:rPr>
                <w:rFonts w:hint="default" w:ascii="Times New Roman" w:hAnsi="Times New Roman" w:eastAsia="宋体" w:cs="Times New Roman"/>
                <w:color w:val="auto"/>
                <w:kern w:val="0"/>
                <w:sz w:val="24"/>
                <w:lang w:val="en-US" w:eastAsia="zh-CN" w:bidi="ar"/>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534" w:type="dxa"/>
            <w:vAlign w:val="center"/>
          </w:tcPr>
          <w:p>
            <w:pPr>
              <w:spacing w:line="240" w:lineRule="auto"/>
              <w:ind w:firstLine="0" w:firstLineChars="0"/>
              <w:jc w:val="center"/>
              <w:rPr>
                <w:rFonts w:hint="default" w:ascii="Times New Roman" w:hAnsi="Times New Roman" w:cs="Times New Roman"/>
                <w:color w:val="auto"/>
                <w:sz w:val="24"/>
              </w:rPr>
            </w:pPr>
            <w:r>
              <w:rPr>
                <w:rFonts w:hint="default" w:ascii="Times New Roman" w:hAnsi="Times New Roman" w:cs="Times New Roman"/>
                <w:color w:val="auto"/>
                <w:sz w:val="24"/>
              </w:rPr>
              <w:t>3</w:t>
            </w:r>
          </w:p>
        </w:tc>
        <w:tc>
          <w:tcPr>
            <w:tcW w:w="5244" w:type="dxa"/>
            <w:vAlign w:val="center"/>
          </w:tcPr>
          <w:p>
            <w:pPr>
              <w:widowControl/>
              <w:spacing w:line="240" w:lineRule="auto"/>
              <w:ind w:firstLine="0" w:firstLineChars="0"/>
              <w:jc w:val="center"/>
              <w:rPr>
                <w:rFonts w:hint="default" w:ascii="Times New Roman" w:hAnsi="Times New Roman" w:cs="Times New Roman"/>
                <w:color w:val="auto"/>
                <w:sz w:val="24"/>
              </w:rPr>
            </w:pPr>
            <w:r>
              <w:rPr>
                <w:rFonts w:hint="default" w:ascii="Times New Roman" w:hAnsi="Times New Roman" w:cs="Times New Roman"/>
                <w:color w:val="auto"/>
                <w:sz w:val="24"/>
                <w:lang w:val="en-US" w:eastAsia="zh-CN"/>
              </w:rPr>
              <w:t>湖北雅都恒兴纸业有限公司</w:t>
            </w:r>
          </w:p>
        </w:tc>
        <w:tc>
          <w:tcPr>
            <w:tcW w:w="1276" w:type="dxa"/>
            <w:vAlign w:val="center"/>
          </w:tcPr>
          <w:p>
            <w:pPr>
              <w:widowControl/>
              <w:spacing w:line="240" w:lineRule="auto"/>
              <w:ind w:firstLine="0" w:firstLineChars="0"/>
              <w:jc w:val="center"/>
              <w:rPr>
                <w:rFonts w:hint="default" w:ascii="Times New Roman" w:hAnsi="Times New Roman" w:eastAsia="宋体" w:cs="Times New Roman"/>
                <w:color w:val="auto"/>
                <w:sz w:val="24"/>
              </w:rPr>
            </w:pPr>
            <w:r>
              <w:rPr>
                <w:rFonts w:hint="default" w:ascii="Times New Roman" w:hAnsi="Times New Roman" w:cs="Times New Roman"/>
                <w:color w:val="auto"/>
                <w:sz w:val="24"/>
              </w:rPr>
              <w:t>0</w:t>
            </w:r>
          </w:p>
        </w:tc>
        <w:tc>
          <w:tcPr>
            <w:tcW w:w="1468" w:type="dxa"/>
            <w:vAlign w:val="center"/>
          </w:tcPr>
          <w:p>
            <w:pPr>
              <w:widowControl/>
              <w:spacing w:line="240" w:lineRule="auto"/>
              <w:ind w:firstLine="0" w:firstLineChars="0"/>
              <w:jc w:val="center"/>
              <w:textAlignment w:val="center"/>
              <w:rPr>
                <w:rFonts w:hint="default" w:ascii="Times New Roman" w:hAnsi="Times New Roman" w:eastAsia="仿宋" w:cs="Times New Roman"/>
                <w:color w:val="auto"/>
                <w:sz w:val="24"/>
                <w:lang w:eastAsia="zh-CN"/>
              </w:rPr>
            </w:pPr>
            <w:r>
              <w:rPr>
                <w:rFonts w:hint="default" w:ascii="Times New Roman" w:hAnsi="Times New Roman" w:eastAsia="宋体" w:cs="Times New Roman"/>
                <w:color w:val="auto"/>
                <w:kern w:val="0"/>
                <w:sz w:val="24"/>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534" w:type="dxa"/>
            <w:vAlign w:val="center"/>
          </w:tcPr>
          <w:p>
            <w:pPr>
              <w:spacing w:line="240" w:lineRule="auto"/>
              <w:ind w:firstLine="0" w:firstLineChars="0"/>
              <w:jc w:val="center"/>
              <w:rPr>
                <w:rFonts w:hint="default" w:ascii="Times New Roman" w:hAnsi="Times New Roman" w:cs="Times New Roman"/>
                <w:color w:val="auto"/>
                <w:sz w:val="24"/>
              </w:rPr>
            </w:pPr>
            <w:r>
              <w:rPr>
                <w:rFonts w:hint="default" w:ascii="Times New Roman" w:hAnsi="Times New Roman" w:cs="Times New Roman"/>
                <w:color w:val="auto"/>
                <w:sz w:val="24"/>
              </w:rPr>
              <w:t>4</w:t>
            </w:r>
          </w:p>
        </w:tc>
        <w:tc>
          <w:tcPr>
            <w:tcW w:w="5244" w:type="dxa"/>
            <w:vAlign w:val="center"/>
          </w:tcPr>
          <w:p>
            <w:pPr>
              <w:widowControl/>
              <w:spacing w:line="240" w:lineRule="auto"/>
              <w:ind w:firstLine="0" w:firstLineChars="0"/>
              <w:jc w:val="center"/>
              <w:rPr>
                <w:rFonts w:hint="default" w:ascii="Times New Roman" w:hAnsi="Times New Roman" w:cs="Times New Roman"/>
                <w:color w:val="auto"/>
                <w:sz w:val="24"/>
              </w:rPr>
            </w:pPr>
            <w:r>
              <w:rPr>
                <w:rFonts w:hint="default" w:ascii="Times New Roman" w:hAnsi="Times New Roman" w:cs="Times New Roman"/>
                <w:color w:val="auto"/>
                <w:sz w:val="24"/>
                <w:lang w:val="en-US" w:eastAsia="zh-CN"/>
              </w:rPr>
              <w:t>随州市永兴再生纸业有限公司</w:t>
            </w:r>
          </w:p>
        </w:tc>
        <w:tc>
          <w:tcPr>
            <w:tcW w:w="1276" w:type="dxa"/>
            <w:vAlign w:val="center"/>
          </w:tcPr>
          <w:p>
            <w:pPr>
              <w:widowControl/>
              <w:spacing w:line="240" w:lineRule="auto"/>
              <w:ind w:firstLine="0" w:firstLineChars="0"/>
              <w:jc w:val="center"/>
              <w:textAlignment w:val="center"/>
              <w:rPr>
                <w:rFonts w:hint="default" w:ascii="Times New Roman" w:hAnsi="Times New Roman" w:eastAsia="仿宋" w:cs="Times New Roman"/>
                <w:color w:val="auto"/>
                <w:sz w:val="24"/>
                <w:lang w:eastAsia="zh-CN"/>
              </w:rPr>
            </w:pPr>
            <w:r>
              <w:rPr>
                <w:rFonts w:hint="default" w:ascii="Times New Roman" w:hAnsi="Times New Roman" w:eastAsia="宋体" w:cs="Times New Roman"/>
                <w:color w:val="auto"/>
                <w:kern w:val="0"/>
                <w:sz w:val="24"/>
                <w:lang w:val="en-US" w:eastAsia="zh-CN" w:bidi="ar"/>
              </w:rPr>
              <w:t>0</w:t>
            </w:r>
          </w:p>
        </w:tc>
        <w:tc>
          <w:tcPr>
            <w:tcW w:w="1468" w:type="dxa"/>
            <w:vAlign w:val="center"/>
          </w:tcPr>
          <w:p>
            <w:pPr>
              <w:widowControl/>
              <w:spacing w:line="240" w:lineRule="auto"/>
              <w:ind w:firstLine="0" w:firstLineChars="0"/>
              <w:jc w:val="center"/>
              <w:rPr>
                <w:rFonts w:hint="default" w:ascii="Times New Roman" w:hAnsi="Times New Roman" w:eastAsia="宋体" w:cs="Times New Roman"/>
                <w:color w:val="auto"/>
                <w:sz w:val="24"/>
                <w:lang w:eastAsia="zh-CN"/>
              </w:rPr>
            </w:pPr>
            <w:r>
              <w:rPr>
                <w:rFonts w:hint="default" w:ascii="Times New Roman" w:hAnsi="Times New Roman" w:eastAsia="宋体" w:cs="Times New Roman"/>
                <w:color w:val="auto"/>
                <w:sz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5778" w:type="dxa"/>
            <w:gridSpan w:val="2"/>
            <w:vAlign w:val="center"/>
          </w:tcPr>
          <w:p>
            <w:pPr>
              <w:widowControl/>
              <w:spacing w:line="240" w:lineRule="auto"/>
              <w:ind w:firstLine="480"/>
              <w:jc w:val="center"/>
              <w:textAlignment w:val="center"/>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合计</w:t>
            </w:r>
          </w:p>
        </w:tc>
        <w:tc>
          <w:tcPr>
            <w:tcW w:w="1276" w:type="dxa"/>
            <w:vAlign w:val="center"/>
          </w:tcPr>
          <w:p>
            <w:pPr>
              <w:widowControl/>
              <w:spacing w:line="240" w:lineRule="auto"/>
              <w:ind w:firstLine="0" w:firstLineChars="0"/>
              <w:jc w:val="center"/>
              <w:textAlignment w:val="center"/>
              <w:rPr>
                <w:rFonts w:hint="default" w:ascii="Times New Roman" w:hAnsi="Times New Roman" w:eastAsia="宋体" w:cs="Times New Roman"/>
                <w:color w:val="auto"/>
                <w:kern w:val="0"/>
                <w:sz w:val="24"/>
                <w:lang w:eastAsia="zh-CN" w:bidi="ar"/>
              </w:rPr>
            </w:pPr>
            <w:r>
              <w:rPr>
                <w:rFonts w:hint="default" w:ascii="Times New Roman" w:hAnsi="Times New Roman" w:eastAsia="宋体" w:cs="Times New Roman"/>
                <w:color w:val="auto"/>
                <w:kern w:val="0"/>
                <w:sz w:val="24"/>
                <w:lang w:val="en-US" w:eastAsia="zh-CN" w:bidi="ar"/>
              </w:rPr>
              <w:t>1</w:t>
            </w:r>
          </w:p>
        </w:tc>
        <w:tc>
          <w:tcPr>
            <w:tcW w:w="1468" w:type="dxa"/>
            <w:vAlign w:val="center"/>
          </w:tcPr>
          <w:p>
            <w:pPr>
              <w:widowControl/>
              <w:spacing w:line="240" w:lineRule="auto"/>
              <w:ind w:firstLine="0" w:firstLineChars="0"/>
              <w:jc w:val="center"/>
              <w:rPr>
                <w:rFonts w:hint="default" w:ascii="Times New Roman" w:hAnsi="Times New Roman" w:eastAsia="仿宋" w:cs="Times New Roman"/>
                <w:color w:val="auto"/>
                <w:sz w:val="24"/>
                <w:lang w:val="en-US" w:eastAsia="zh-CN"/>
              </w:rPr>
            </w:pPr>
            <w:r>
              <w:rPr>
                <w:rFonts w:hint="default" w:ascii="Times New Roman" w:hAnsi="Times New Roman" w:cs="Times New Roman"/>
                <w:color w:val="auto"/>
                <w:sz w:val="24"/>
                <w:lang w:val="en-US" w:eastAsia="zh-CN"/>
              </w:rPr>
              <w:t>11</w:t>
            </w:r>
          </w:p>
        </w:tc>
      </w:tr>
    </w:tbl>
    <w:p>
      <w:pPr>
        <w:pStyle w:val="2"/>
        <w:rPr>
          <w:rFonts w:hint="default" w:ascii="Times New Roman" w:hAnsi="Times New Roman" w:eastAsia="黑体" w:cs="Times New Roman"/>
          <w:color w:val="auto"/>
          <w:sz w:val="24"/>
        </w:rPr>
      </w:pPr>
    </w:p>
    <w:p>
      <w:pPr>
        <w:pStyle w:val="5"/>
        <w:ind w:left="0" w:leftChars="0" w:firstLine="0" w:firstLineChars="0"/>
        <w:rPr>
          <w:rFonts w:hint="default" w:ascii="Times New Roman" w:hAnsi="Times New Roman" w:cs="Times New Roman"/>
          <w:color w:val="auto"/>
        </w:rPr>
      </w:pPr>
      <w:bookmarkStart w:id="8" w:name="_Toc119252503"/>
      <w:bookmarkStart w:id="9" w:name="_Toc119252457"/>
      <w:bookmarkStart w:id="10" w:name="_Toc21016"/>
      <w:bookmarkStart w:id="11" w:name="_Toc118884535"/>
      <w:r>
        <w:rPr>
          <w:rFonts w:hint="default" w:ascii="Times New Roman" w:hAnsi="Times New Roman" w:cs="Times New Roman"/>
          <w:color w:val="auto"/>
        </w:rPr>
        <w:t>1.2.2射线装置</w:t>
      </w:r>
      <w:bookmarkEnd w:id="8"/>
      <w:bookmarkEnd w:id="9"/>
      <w:bookmarkEnd w:id="10"/>
      <w:bookmarkEnd w:id="11"/>
    </w:p>
    <w:p>
      <w:pPr>
        <w:ind w:firstLine="560"/>
        <w:rPr>
          <w:rFonts w:hint="default" w:ascii="Times New Roman" w:hAnsi="Times New Roman" w:cs="Times New Roman"/>
          <w:color w:val="auto"/>
        </w:rPr>
      </w:pPr>
      <w:r>
        <w:rPr>
          <w:rFonts w:hint="default" w:ascii="Times New Roman" w:hAnsi="Times New Roman" w:cs="Times New Roman"/>
          <w:color w:val="auto"/>
        </w:rPr>
        <w:t>本次共完成了</w:t>
      </w:r>
      <w:r>
        <w:rPr>
          <w:rFonts w:hint="default" w:ascii="Times New Roman" w:hAnsi="Times New Roman" w:cs="Times New Roman"/>
          <w:color w:val="auto"/>
          <w:lang w:val="en-US" w:eastAsia="zh-CN"/>
        </w:rPr>
        <w:t>10</w:t>
      </w:r>
      <w:r>
        <w:rPr>
          <w:rFonts w:hint="default" w:ascii="Times New Roman" w:hAnsi="Times New Roman" w:cs="Times New Roman"/>
          <w:color w:val="auto"/>
        </w:rPr>
        <w:t>家使用射线装置核技术利用单位的辐射环境监测工作，监测单位信息详见表1-3。</w:t>
      </w:r>
    </w:p>
    <w:p>
      <w:pPr>
        <w:ind w:firstLine="0" w:firstLineChars="0"/>
        <w:jc w:val="center"/>
        <w:rPr>
          <w:rFonts w:hint="default" w:ascii="Times New Roman" w:hAnsi="Times New Roman" w:eastAsia="黑体" w:cs="Times New Roman"/>
          <w:color w:val="auto"/>
          <w:sz w:val="24"/>
        </w:rPr>
      </w:pPr>
      <w:r>
        <w:rPr>
          <w:rFonts w:hint="default" w:ascii="Times New Roman" w:hAnsi="Times New Roman" w:eastAsia="黑体" w:cs="Times New Roman"/>
          <w:color w:val="auto"/>
          <w:sz w:val="24"/>
        </w:rPr>
        <w:t>表1-3  本项目射线装置核技术利用单位</w:t>
      </w:r>
    </w:p>
    <w:tbl>
      <w:tblPr>
        <w:tblStyle w:val="1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4"/>
        <w:gridCol w:w="4802"/>
        <w:gridCol w:w="1495"/>
        <w:gridCol w:w="16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325" w:type="pct"/>
            <w:vMerge w:val="restart"/>
            <w:vAlign w:val="center"/>
          </w:tcPr>
          <w:p>
            <w:pPr>
              <w:spacing w:line="240" w:lineRule="auto"/>
              <w:ind w:firstLine="0" w:firstLineChars="0"/>
              <w:jc w:val="center"/>
              <w:rPr>
                <w:rFonts w:hint="default" w:ascii="Times New Roman" w:hAnsi="Times New Roman" w:cs="Times New Roman"/>
                <w:b/>
                <w:color w:val="auto"/>
                <w:sz w:val="24"/>
              </w:rPr>
            </w:pPr>
            <w:r>
              <w:rPr>
                <w:rFonts w:hint="default" w:ascii="Times New Roman" w:hAnsi="Times New Roman" w:cs="Times New Roman"/>
                <w:b/>
                <w:color w:val="auto"/>
                <w:sz w:val="24"/>
              </w:rPr>
              <w:t>序号</w:t>
            </w:r>
          </w:p>
        </w:tc>
        <w:tc>
          <w:tcPr>
            <w:tcW w:w="2818" w:type="pct"/>
            <w:vMerge w:val="restart"/>
            <w:vAlign w:val="center"/>
          </w:tcPr>
          <w:p>
            <w:pPr>
              <w:spacing w:line="240" w:lineRule="auto"/>
              <w:ind w:firstLine="0" w:firstLineChars="0"/>
              <w:jc w:val="center"/>
              <w:rPr>
                <w:rFonts w:hint="default" w:ascii="Times New Roman" w:hAnsi="Times New Roman" w:cs="Times New Roman"/>
                <w:b/>
                <w:color w:val="auto"/>
                <w:sz w:val="24"/>
              </w:rPr>
            </w:pPr>
            <w:r>
              <w:rPr>
                <w:rFonts w:hint="default" w:ascii="Times New Roman" w:hAnsi="Times New Roman" w:cs="Times New Roman"/>
                <w:b/>
                <w:color w:val="auto"/>
                <w:sz w:val="24"/>
              </w:rPr>
              <w:t>单位名称</w:t>
            </w:r>
          </w:p>
        </w:tc>
        <w:tc>
          <w:tcPr>
            <w:tcW w:w="1856" w:type="pct"/>
            <w:gridSpan w:val="2"/>
            <w:vAlign w:val="center"/>
          </w:tcPr>
          <w:p>
            <w:pPr>
              <w:spacing w:line="240" w:lineRule="auto"/>
              <w:ind w:firstLine="0" w:firstLineChars="0"/>
              <w:jc w:val="center"/>
              <w:rPr>
                <w:rFonts w:hint="default" w:ascii="Times New Roman" w:hAnsi="Times New Roman" w:cs="Times New Roman"/>
                <w:b/>
                <w:color w:val="auto"/>
                <w:sz w:val="24"/>
              </w:rPr>
            </w:pPr>
            <w:r>
              <w:rPr>
                <w:rFonts w:hint="default" w:ascii="Times New Roman" w:hAnsi="Times New Roman" w:cs="Times New Roman"/>
                <w:b/>
                <w:color w:val="auto"/>
                <w:sz w:val="24"/>
              </w:rPr>
              <w:t>射线装置种类及数量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325" w:type="pct"/>
            <w:vMerge w:val="continue"/>
            <w:vAlign w:val="center"/>
          </w:tcPr>
          <w:p>
            <w:pPr>
              <w:spacing w:line="240" w:lineRule="auto"/>
              <w:ind w:firstLine="0" w:firstLineChars="0"/>
              <w:jc w:val="center"/>
              <w:rPr>
                <w:rFonts w:hint="default" w:ascii="Times New Roman" w:hAnsi="Times New Roman" w:cs="Times New Roman"/>
                <w:b/>
                <w:color w:val="auto"/>
                <w:sz w:val="24"/>
              </w:rPr>
            </w:pPr>
          </w:p>
        </w:tc>
        <w:tc>
          <w:tcPr>
            <w:tcW w:w="2818" w:type="pct"/>
            <w:vMerge w:val="continue"/>
            <w:vAlign w:val="center"/>
          </w:tcPr>
          <w:p>
            <w:pPr>
              <w:spacing w:line="240" w:lineRule="auto"/>
              <w:ind w:firstLine="0" w:firstLineChars="0"/>
              <w:jc w:val="center"/>
              <w:rPr>
                <w:rFonts w:hint="default" w:ascii="Times New Roman" w:hAnsi="Times New Roman" w:cs="Times New Roman"/>
                <w:b/>
                <w:color w:val="auto"/>
                <w:sz w:val="24"/>
              </w:rPr>
            </w:pPr>
          </w:p>
        </w:tc>
        <w:tc>
          <w:tcPr>
            <w:tcW w:w="877" w:type="pct"/>
            <w:vAlign w:val="center"/>
          </w:tcPr>
          <w:p>
            <w:pPr>
              <w:spacing w:line="240" w:lineRule="auto"/>
              <w:ind w:firstLine="0" w:firstLineChars="0"/>
              <w:jc w:val="center"/>
              <w:rPr>
                <w:rFonts w:hint="default" w:ascii="Times New Roman" w:hAnsi="Times New Roman" w:cs="Times New Roman"/>
                <w:b/>
                <w:color w:val="auto"/>
                <w:sz w:val="24"/>
              </w:rPr>
            </w:pPr>
            <w:r>
              <w:rPr>
                <w:rFonts w:hint="default" w:ascii="Times New Roman" w:hAnsi="Times New Roman" w:eastAsia="宋体" w:cs="Times New Roman"/>
                <w:b/>
                <w:color w:val="auto"/>
                <w:sz w:val="24"/>
              </w:rPr>
              <w:t>Ⅱ</w:t>
            </w:r>
            <w:r>
              <w:rPr>
                <w:rFonts w:hint="default" w:ascii="Times New Roman" w:hAnsi="Times New Roman" w:cs="Times New Roman"/>
                <w:b/>
                <w:color w:val="auto"/>
                <w:sz w:val="24"/>
              </w:rPr>
              <w:t>类</w:t>
            </w:r>
          </w:p>
        </w:tc>
        <w:tc>
          <w:tcPr>
            <w:tcW w:w="978" w:type="pct"/>
            <w:vAlign w:val="center"/>
          </w:tcPr>
          <w:p>
            <w:pPr>
              <w:spacing w:line="240" w:lineRule="auto"/>
              <w:ind w:firstLine="0" w:firstLineChars="0"/>
              <w:jc w:val="center"/>
              <w:rPr>
                <w:rFonts w:hint="default" w:ascii="Times New Roman" w:hAnsi="Times New Roman" w:cs="Times New Roman"/>
                <w:b/>
                <w:color w:val="auto"/>
                <w:sz w:val="24"/>
              </w:rPr>
            </w:pPr>
            <w:r>
              <w:rPr>
                <w:rFonts w:hint="default" w:ascii="Times New Roman" w:hAnsi="Times New Roman" w:eastAsia="宋体" w:cs="Times New Roman"/>
                <w:b/>
                <w:color w:val="auto"/>
                <w:sz w:val="24"/>
              </w:rPr>
              <w:t>Ⅲ</w:t>
            </w:r>
            <w:r>
              <w:rPr>
                <w:rFonts w:hint="default" w:ascii="Times New Roman" w:hAnsi="Times New Roman" w:cs="Times New Roman"/>
                <w:b/>
                <w:color w:val="auto"/>
                <w:sz w:val="24"/>
              </w:rPr>
              <w:t>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325" w:type="pct"/>
            <w:vAlign w:val="center"/>
          </w:tcPr>
          <w:p>
            <w:pPr>
              <w:widowControl/>
              <w:spacing w:line="240" w:lineRule="auto"/>
              <w:ind w:firstLine="0" w:firstLineChars="0"/>
              <w:jc w:val="center"/>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1</w:t>
            </w:r>
          </w:p>
        </w:tc>
        <w:tc>
          <w:tcPr>
            <w:tcW w:w="2818" w:type="pct"/>
            <w:vAlign w:val="center"/>
          </w:tcPr>
          <w:p>
            <w:pPr>
              <w:widowControl/>
              <w:spacing w:line="240" w:lineRule="auto"/>
              <w:ind w:firstLine="0" w:firstLineChars="0"/>
              <w:jc w:val="center"/>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随州市中心医院</w:t>
            </w:r>
          </w:p>
        </w:tc>
        <w:tc>
          <w:tcPr>
            <w:tcW w:w="877" w:type="pct"/>
            <w:vAlign w:val="center"/>
          </w:tcPr>
          <w:p>
            <w:pPr>
              <w:spacing w:line="240" w:lineRule="auto"/>
              <w:ind w:firstLine="0" w:firstLineChars="0"/>
              <w:jc w:val="center"/>
              <w:rPr>
                <w:rFonts w:hint="default" w:ascii="Times New Roman" w:hAnsi="Times New Roman" w:cs="Times New Roman"/>
                <w:color w:val="auto"/>
                <w:sz w:val="24"/>
              </w:rPr>
            </w:pPr>
            <w:r>
              <w:rPr>
                <w:rFonts w:hint="default" w:ascii="Times New Roman" w:hAnsi="Times New Roman" w:cs="Times New Roman"/>
                <w:color w:val="auto"/>
                <w:sz w:val="24"/>
              </w:rPr>
              <w:t>0</w:t>
            </w:r>
          </w:p>
        </w:tc>
        <w:tc>
          <w:tcPr>
            <w:tcW w:w="978" w:type="pct"/>
            <w:vAlign w:val="center"/>
          </w:tcPr>
          <w:p>
            <w:pPr>
              <w:spacing w:line="240" w:lineRule="auto"/>
              <w:ind w:firstLine="0" w:firstLineChars="0"/>
              <w:jc w:val="center"/>
              <w:rPr>
                <w:rFonts w:hint="default" w:ascii="Times New Roman" w:hAnsi="Times New Roman" w:eastAsia="仿宋" w:cs="Times New Roman"/>
                <w:color w:val="auto"/>
                <w:sz w:val="24"/>
                <w:lang w:val="en-US" w:eastAsia="zh-CN"/>
              </w:rPr>
            </w:pPr>
            <w:r>
              <w:rPr>
                <w:rFonts w:hint="default" w:ascii="Times New Roman" w:hAnsi="Times New Roman" w:cs="Times New Roman"/>
                <w:color w:val="auto"/>
                <w:sz w:val="24"/>
                <w:lang w:val="en-US" w:eastAsia="zh-CN"/>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325" w:type="pct"/>
            <w:vAlign w:val="center"/>
          </w:tcPr>
          <w:p>
            <w:pPr>
              <w:widowControl/>
              <w:spacing w:line="240" w:lineRule="auto"/>
              <w:ind w:firstLine="0" w:firstLineChars="0"/>
              <w:jc w:val="center"/>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2</w:t>
            </w:r>
          </w:p>
        </w:tc>
        <w:tc>
          <w:tcPr>
            <w:tcW w:w="2818" w:type="pct"/>
            <w:vAlign w:val="center"/>
          </w:tcPr>
          <w:p>
            <w:pPr>
              <w:widowControl/>
              <w:spacing w:line="240" w:lineRule="auto"/>
              <w:ind w:firstLine="0" w:firstLineChars="0"/>
              <w:jc w:val="center"/>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随州市中医医院</w:t>
            </w:r>
          </w:p>
        </w:tc>
        <w:tc>
          <w:tcPr>
            <w:tcW w:w="877" w:type="pct"/>
            <w:vAlign w:val="center"/>
          </w:tcPr>
          <w:p>
            <w:pPr>
              <w:spacing w:line="240" w:lineRule="auto"/>
              <w:ind w:firstLine="0" w:firstLineChars="0"/>
              <w:jc w:val="center"/>
              <w:rPr>
                <w:rFonts w:hint="default" w:ascii="Times New Roman" w:hAnsi="Times New Roman" w:cs="Times New Roman"/>
                <w:color w:val="auto"/>
                <w:sz w:val="24"/>
              </w:rPr>
            </w:pPr>
            <w:r>
              <w:rPr>
                <w:rFonts w:hint="default" w:ascii="Times New Roman" w:hAnsi="Times New Roman" w:cs="Times New Roman"/>
                <w:color w:val="auto"/>
                <w:sz w:val="24"/>
              </w:rPr>
              <w:t>0</w:t>
            </w:r>
          </w:p>
        </w:tc>
        <w:tc>
          <w:tcPr>
            <w:tcW w:w="978" w:type="pct"/>
            <w:vAlign w:val="center"/>
          </w:tcPr>
          <w:p>
            <w:pPr>
              <w:spacing w:line="240" w:lineRule="auto"/>
              <w:ind w:firstLine="0" w:firstLineChars="0"/>
              <w:jc w:val="center"/>
              <w:rPr>
                <w:rFonts w:hint="default" w:ascii="Times New Roman" w:hAnsi="Times New Roman" w:eastAsia="仿宋" w:cs="Times New Roman"/>
                <w:color w:val="auto"/>
                <w:sz w:val="24"/>
                <w:lang w:eastAsia="zh-CN"/>
              </w:rPr>
            </w:pPr>
            <w:r>
              <w:rPr>
                <w:rFonts w:hint="default" w:ascii="Times New Roman" w:hAnsi="Times New Roman" w:cs="Times New Roman"/>
                <w:color w:val="auto"/>
                <w:sz w:val="24"/>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325" w:type="pct"/>
            <w:vAlign w:val="center"/>
          </w:tcPr>
          <w:p>
            <w:pPr>
              <w:widowControl/>
              <w:spacing w:line="240" w:lineRule="auto"/>
              <w:ind w:firstLine="0" w:firstLineChars="0"/>
              <w:jc w:val="center"/>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3</w:t>
            </w:r>
          </w:p>
        </w:tc>
        <w:tc>
          <w:tcPr>
            <w:tcW w:w="2818" w:type="pct"/>
            <w:vAlign w:val="center"/>
          </w:tcPr>
          <w:p>
            <w:pPr>
              <w:widowControl/>
              <w:spacing w:line="240" w:lineRule="auto"/>
              <w:ind w:firstLine="0" w:firstLineChars="0"/>
              <w:jc w:val="center"/>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广水市第一人民医院（含二部）</w:t>
            </w:r>
          </w:p>
        </w:tc>
        <w:tc>
          <w:tcPr>
            <w:tcW w:w="877" w:type="pct"/>
            <w:vAlign w:val="center"/>
          </w:tcPr>
          <w:p>
            <w:pPr>
              <w:spacing w:line="240" w:lineRule="auto"/>
              <w:ind w:firstLine="0" w:firstLineChars="0"/>
              <w:jc w:val="center"/>
              <w:rPr>
                <w:rFonts w:hint="default" w:ascii="Times New Roman" w:hAnsi="Times New Roman" w:eastAsia="仿宋" w:cs="Times New Roman"/>
                <w:color w:val="auto"/>
                <w:sz w:val="24"/>
                <w:lang w:eastAsia="zh-CN"/>
              </w:rPr>
            </w:pPr>
            <w:r>
              <w:rPr>
                <w:rFonts w:hint="default" w:ascii="Times New Roman" w:hAnsi="Times New Roman" w:cs="Times New Roman"/>
                <w:color w:val="auto"/>
                <w:sz w:val="24"/>
                <w:lang w:val="en-US" w:eastAsia="zh-CN"/>
              </w:rPr>
              <w:t>0</w:t>
            </w:r>
          </w:p>
        </w:tc>
        <w:tc>
          <w:tcPr>
            <w:tcW w:w="978" w:type="pct"/>
            <w:vAlign w:val="center"/>
          </w:tcPr>
          <w:p>
            <w:pPr>
              <w:spacing w:line="240" w:lineRule="auto"/>
              <w:ind w:firstLine="0" w:firstLineChars="0"/>
              <w:jc w:val="center"/>
              <w:rPr>
                <w:rFonts w:hint="default" w:ascii="Times New Roman" w:hAnsi="Times New Roman" w:eastAsia="仿宋" w:cs="Times New Roman"/>
                <w:color w:val="auto"/>
                <w:sz w:val="24"/>
                <w:lang w:eastAsia="zh-CN"/>
              </w:rPr>
            </w:pPr>
            <w:r>
              <w:rPr>
                <w:rFonts w:hint="default" w:ascii="Times New Roman" w:hAnsi="Times New Roman" w:cs="Times New Roman"/>
                <w:color w:val="auto"/>
                <w:sz w:val="24"/>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325" w:type="pct"/>
            <w:vAlign w:val="center"/>
          </w:tcPr>
          <w:p>
            <w:pPr>
              <w:widowControl/>
              <w:spacing w:line="240" w:lineRule="auto"/>
              <w:ind w:firstLine="0" w:firstLineChars="0"/>
              <w:jc w:val="center"/>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4</w:t>
            </w:r>
          </w:p>
        </w:tc>
        <w:tc>
          <w:tcPr>
            <w:tcW w:w="2818" w:type="pct"/>
            <w:vAlign w:val="center"/>
          </w:tcPr>
          <w:p>
            <w:pPr>
              <w:widowControl/>
              <w:spacing w:line="240" w:lineRule="auto"/>
              <w:ind w:firstLine="0" w:firstLineChars="0"/>
              <w:jc w:val="center"/>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湖北华星汽车制造有限公司</w:t>
            </w:r>
          </w:p>
        </w:tc>
        <w:tc>
          <w:tcPr>
            <w:tcW w:w="877" w:type="pct"/>
            <w:vAlign w:val="center"/>
          </w:tcPr>
          <w:p>
            <w:pPr>
              <w:spacing w:line="240" w:lineRule="auto"/>
              <w:ind w:firstLine="0" w:firstLineChars="0"/>
              <w:jc w:val="center"/>
              <w:rPr>
                <w:rFonts w:hint="default" w:ascii="Times New Roman" w:hAnsi="Times New Roman" w:eastAsia="仿宋" w:cs="Times New Roman"/>
                <w:color w:val="auto"/>
                <w:sz w:val="24"/>
                <w:lang w:eastAsia="zh-CN"/>
              </w:rPr>
            </w:pPr>
            <w:r>
              <w:rPr>
                <w:rFonts w:hint="default" w:ascii="Times New Roman" w:hAnsi="Times New Roman" w:cs="Times New Roman"/>
                <w:color w:val="auto"/>
                <w:sz w:val="24"/>
                <w:lang w:val="en-US" w:eastAsia="zh-CN"/>
              </w:rPr>
              <w:t>1</w:t>
            </w:r>
          </w:p>
        </w:tc>
        <w:tc>
          <w:tcPr>
            <w:tcW w:w="978" w:type="pct"/>
            <w:vAlign w:val="center"/>
          </w:tcPr>
          <w:p>
            <w:pPr>
              <w:spacing w:line="240" w:lineRule="auto"/>
              <w:ind w:firstLine="0" w:firstLineChars="0"/>
              <w:jc w:val="center"/>
              <w:rPr>
                <w:rFonts w:hint="default" w:ascii="Times New Roman" w:hAnsi="Times New Roman" w:eastAsia="仿宋" w:cs="Times New Roman"/>
                <w:color w:val="auto"/>
                <w:sz w:val="24"/>
                <w:lang w:eastAsia="zh-CN"/>
              </w:rPr>
            </w:pPr>
            <w:r>
              <w:rPr>
                <w:rFonts w:hint="default" w:ascii="Times New Roman" w:hAnsi="Times New Roman" w:cs="Times New Roman"/>
                <w:color w:val="auto"/>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325" w:type="pct"/>
            <w:vAlign w:val="center"/>
          </w:tcPr>
          <w:p>
            <w:pPr>
              <w:widowControl/>
              <w:spacing w:line="240" w:lineRule="auto"/>
              <w:ind w:firstLine="0" w:firstLineChars="0"/>
              <w:jc w:val="center"/>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5</w:t>
            </w:r>
          </w:p>
        </w:tc>
        <w:tc>
          <w:tcPr>
            <w:tcW w:w="2818" w:type="pct"/>
            <w:vAlign w:val="center"/>
          </w:tcPr>
          <w:p>
            <w:pPr>
              <w:widowControl/>
              <w:spacing w:line="240" w:lineRule="auto"/>
              <w:ind w:firstLine="0" w:firstLineChars="0"/>
              <w:jc w:val="center"/>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玉柴东特专用汽车有限公司</w:t>
            </w:r>
          </w:p>
        </w:tc>
        <w:tc>
          <w:tcPr>
            <w:tcW w:w="877" w:type="pct"/>
            <w:vAlign w:val="center"/>
          </w:tcPr>
          <w:p>
            <w:pPr>
              <w:spacing w:line="240" w:lineRule="auto"/>
              <w:ind w:firstLine="0" w:firstLineChars="0"/>
              <w:jc w:val="center"/>
              <w:rPr>
                <w:rFonts w:hint="default" w:ascii="Times New Roman" w:hAnsi="Times New Roman" w:eastAsia="仿宋" w:cs="Times New Roman"/>
                <w:color w:val="auto"/>
                <w:sz w:val="24"/>
                <w:lang w:eastAsia="zh-CN"/>
              </w:rPr>
            </w:pPr>
            <w:r>
              <w:rPr>
                <w:rFonts w:hint="default" w:ascii="Times New Roman" w:hAnsi="Times New Roman" w:cs="Times New Roman"/>
                <w:color w:val="auto"/>
                <w:sz w:val="24"/>
                <w:lang w:val="en-US" w:eastAsia="zh-CN"/>
              </w:rPr>
              <w:t>1</w:t>
            </w:r>
          </w:p>
        </w:tc>
        <w:tc>
          <w:tcPr>
            <w:tcW w:w="978" w:type="pct"/>
            <w:vAlign w:val="center"/>
          </w:tcPr>
          <w:p>
            <w:pPr>
              <w:spacing w:line="240" w:lineRule="auto"/>
              <w:ind w:firstLine="0" w:firstLineChars="0"/>
              <w:jc w:val="center"/>
              <w:rPr>
                <w:rFonts w:hint="default" w:ascii="Times New Roman" w:hAnsi="Times New Roman" w:eastAsia="仿宋" w:cs="Times New Roman"/>
                <w:color w:val="auto"/>
                <w:sz w:val="24"/>
                <w:lang w:eastAsia="zh-CN"/>
              </w:rPr>
            </w:pPr>
            <w:r>
              <w:rPr>
                <w:rFonts w:hint="default" w:ascii="Times New Roman" w:hAnsi="Times New Roman" w:cs="Times New Roman"/>
                <w:color w:val="auto"/>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325" w:type="pct"/>
            <w:vAlign w:val="center"/>
          </w:tcPr>
          <w:p>
            <w:pPr>
              <w:widowControl/>
              <w:spacing w:line="240" w:lineRule="auto"/>
              <w:ind w:firstLine="0" w:firstLineChars="0"/>
              <w:jc w:val="center"/>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6</w:t>
            </w:r>
          </w:p>
        </w:tc>
        <w:tc>
          <w:tcPr>
            <w:tcW w:w="2818" w:type="pct"/>
            <w:vAlign w:val="center"/>
          </w:tcPr>
          <w:p>
            <w:pPr>
              <w:widowControl/>
              <w:spacing w:line="240" w:lineRule="auto"/>
              <w:ind w:firstLine="0" w:firstLineChars="0"/>
              <w:jc w:val="center"/>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湖北楚胜汽车有限公司</w:t>
            </w:r>
          </w:p>
        </w:tc>
        <w:tc>
          <w:tcPr>
            <w:tcW w:w="877" w:type="pct"/>
            <w:vAlign w:val="center"/>
          </w:tcPr>
          <w:p>
            <w:pPr>
              <w:spacing w:line="240" w:lineRule="auto"/>
              <w:ind w:firstLine="0" w:firstLineChars="0"/>
              <w:jc w:val="center"/>
              <w:rPr>
                <w:rFonts w:hint="default" w:ascii="Times New Roman" w:hAnsi="Times New Roman" w:eastAsia="仿宋" w:cs="Times New Roman"/>
                <w:color w:val="auto"/>
                <w:sz w:val="24"/>
                <w:lang w:eastAsia="zh-CN"/>
              </w:rPr>
            </w:pPr>
            <w:r>
              <w:rPr>
                <w:rFonts w:hint="default" w:ascii="Times New Roman" w:hAnsi="Times New Roman" w:cs="Times New Roman"/>
                <w:color w:val="auto"/>
                <w:sz w:val="24"/>
                <w:lang w:val="en-US" w:eastAsia="zh-CN"/>
              </w:rPr>
              <w:t>2</w:t>
            </w:r>
          </w:p>
        </w:tc>
        <w:tc>
          <w:tcPr>
            <w:tcW w:w="978" w:type="pct"/>
            <w:vAlign w:val="center"/>
          </w:tcPr>
          <w:p>
            <w:pPr>
              <w:spacing w:line="240" w:lineRule="auto"/>
              <w:ind w:firstLine="0" w:firstLineChars="0"/>
              <w:jc w:val="center"/>
              <w:rPr>
                <w:rFonts w:hint="default" w:ascii="Times New Roman" w:hAnsi="Times New Roman" w:eastAsia="仿宋" w:cs="Times New Roman"/>
                <w:color w:val="auto"/>
                <w:sz w:val="24"/>
                <w:lang w:eastAsia="zh-CN"/>
              </w:rPr>
            </w:pPr>
            <w:r>
              <w:rPr>
                <w:rFonts w:hint="default" w:ascii="Times New Roman" w:hAnsi="Times New Roman" w:cs="Times New Roman"/>
                <w:color w:val="auto"/>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325" w:type="pct"/>
            <w:vAlign w:val="center"/>
          </w:tcPr>
          <w:p>
            <w:pPr>
              <w:widowControl/>
              <w:spacing w:line="240" w:lineRule="auto"/>
              <w:ind w:firstLine="0" w:firstLineChars="0"/>
              <w:jc w:val="center"/>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7</w:t>
            </w:r>
          </w:p>
        </w:tc>
        <w:tc>
          <w:tcPr>
            <w:tcW w:w="2818" w:type="pct"/>
            <w:vAlign w:val="center"/>
          </w:tcPr>
          <w:p>
            <w:pPr>
              <w:widowControl/>
              <w:spacing w:line="240" w:lineRule="auto"/>
              <w:ind w:firstLine="0" w:firstLineChars="0"/>
              <w:jc w:val="center"/>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湖北齐航安装工程有限公司</w:t>
            </w:r>
          </w:p>
        </w:tc>
        <w:tc>
          <w:tcPr>
            <w:tcW w:w="877" w:type="pct"/>
            <w:vAlign w:val="center"/>
          </w:tcPr>
          <w:p>
            <w:pPr>
              <w:spacing w:line="240" w:lineRule="auto"/>
              <w:ind w:firstLine="0" w:firstLineChars="0"/>
              <w:jc w:val="center"/>
              <w:rPr>
                <w:rFonts w:hint="default" w:ascii="Times New Roman" w:hAnsi="Times New Roman" w:eastAsia="仿宋" w:cs="Times New Roman"/>
                <w:color w:val="auto"/>
                <w:sz w:val="24"/>
                <w:lang w:eastAsia="zh-CN"/>
              </w:rPr>
            </w:pPr>
            <w:r>
              <w:rPr>
                <w:rFonts w:hint="default" w:ascii="Times New Roman" w:hAnsi="Times New Roman" w:cs="Times New Roman"/>
                <w:color w:val="auto"/>
                <w:sz w:val="24"/>
                <w:lang w:val="en-US" w:eastAsia="zh-CN"/>
              </w:rPr>
              <w:t>1</w:t>
            </w:r>
          </w:p>
        </w:tc>
        <w:tc>
          <w:tcPr>
            <w:tcW w:w="978" w:type="pct"/>
            <w:vAlign w:val="center"/>
          </w:tcPr>
          <w:p>
            <w:pPr>
              <w:spacing w:line="240" w:lineRule="auto"/>
              <w:ind w:firstLine="0" w:firstLineChars="0"/>
              <w:jc w:val="center"/>
              <w:rPr>
                <w:rFonts w:hint="default" w:ascii="Times New Roman" w:hAnsi="Times New Roman" w:eastAsia="仿宋" w:cs="Times New Roman"/>
                <w:color w:val="auto"/>
                <w:sz w:val="24"/>
                <w:lang w:eastAsia="zh-CN"/>
              </w:rPr>
            </w:pPr>
            <w:r>
              <w:rPr>
                <w:rFonts w:hint="default" w:ascii="Times New Roman" w:hAnsi="Times New Roman" w:cs="Times New Roman"/>
                <w:color w:val="auto"/>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325" w:type="pct"/>
            <w:vAlign w:val="center"/>
          </w:tcPr>
          <w:p>
            <w:pPr>
              <w:widowControl/>
              <w:spacing w:line="240" w:lineRule="auto"/>
              <w:ind w:firstLine="0" w:firstLineChars="0"/>
              <w:jc w:val="center"/>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8</w:t>
            </w:r>
          </w:p>
        </w:tc>
        <w:tc>
          <w:tcPr>
            <w:tcW w:w="2818" w:type="pct"/>
            <w:vAlign w:val="center"/>
          </w:tcPr>
          <w:p>
            <w:pPr>
              <w:widowControl/>
              <w:spacing w:line="240" w:lineRule="auto"/>
              <w:ind w:firstLine="0" w:firstLineChars="0"/>
              <w:jc w:val="center"/>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湖北成龙威汽车有限公司</w:t>
            </w:r>
          </w:p>
        </w:tc>
        <w:tc>
          <w:tcPr>
            <w:tcW w:w="877" w:type="pct"/>
            <w:vAlign w:val="center"/>
          </w:tcPr>
          <w:p>
            <w:pPr>
              <w:spacing w:line="240" w:lineRule="auto"/>
              <w:ind w:firstLine="0" w:firstLineChars="0"/>
              <w:jc w:val="center"/>
              <w:rPr>
                <w:rFonts w:hint="default" w:ascii="Times New Roman" w:hAnsi="Times New Roman" w:eastAsia="仿宋" w:cs="Times New Roman"/>
                <w:color w:val="auto"/>
                <w:sz w:val="24"/>
                <w:lang w:eastAsia="zh-CN"/>
              </w:rPr>
            </w:pPr>
            <w:r>
              <w:rPr>
                <w:rFonts w:hint="default" w:ascii="Times New Roman" w:hAnsi="Times New Roman" w:cs="Times New Roman"/>
                <w:color w:val="auto"/>
                <w:sz w:val="24"/>
                <w:lang w:val="en-US" w:eastAsia="zh-CN"/>
              </w:rPr>
              <w:t>1</w:t>
            </w:r>
          </w:p>
        </w:tc>
        <w:tc>
          <w:tcPr>
            <w:tcW w:w="978" w:type="pct"/>
            <w:vAlign w:val="center"/>
          </w:tcPr>
          <w:p>
            <w:pPr>
              <w:spacing w:line="240" w:lineRule="auto"/>
              <w:ind w:firstLine="0" w:firstLineChars="0"/>
              <w:jc w:val="center"/>
              <w:rPr>
                <w:rFonts w:hint="default" w:ascii="Times New Roman" w:hAnsi="Times New Roman" w:eastAsia="仿宋" w:cs="Times New Roman"/>
                <w:color w:val="auto"/>
                <w:sz w:val="24"/>
                <w:lang w:eastAsia="zh-CN"/>
              </w:rPr>
            </w:pPr>
            <w:r>
              <w:rPr>
                <w:rFonts w:hint="default" w:ascii="Times New Roman" w:hAnsi="Times New Roman" w:cs="Times New Roman"/>
                <w:color w:val="auto"/>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325" w:type="pct"/>
            <w:vAlign w:val="center"/>
          </w:tcPr>
          <w:p>
            <w:pPr>
              <w:widowControl/>
              <w:spacing w:line="240" w:lineRule="auto"/>
              <w:ind w:firstLine="0" w:firstLineChars="0"/>
              <w:jc w:val="center"/>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9</w:t>
            </w:r>
          </w:p>
        </w:tc>
        <w:tc>
          <w:tcPr>
            <w:tcW w:w="2818" w:type="pct"/>
            <w:vAlign w:val="center"/>
          </w:tcPr>
          <w:p>
            <w:pPr>
              <w:widowControl/>
              <w:spacing w:line="240" w:lineRule="auto"/>
              <w:ind w:firstLine="0" w:firstLineChars="0"/>
              <w:jc w:val="center"/>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湖北同威汽车配件有限公司</w:t>
            </w:r>
          </w:p>
        </w:tc>
        <w:tc>
          <w:tcPr>
            <w:tcW w:w="877" w:type="pct"/>
            <w:vAlign w:val="center"/>
          </w:tcPr>
          <w:p>
            <w:pPr>
              <w:spacing w:line="240" w:lineRule="auto"/>
              <w:ind w:firstLine="0" w:firstLineChars="0"/>
              <w:jc w:val="center"/>
              <w:rPr>
                <w:rFonts w:hint="default" w:ascii="Times New Roman" w:hAnsi="Times New Roman" w:eastAsia="仿宋" w:cs="Times New Roman"/>
                <w:color w:val="auto"/>
                <w:sz w:val="24"/>
                <w:lang w:eastAsia="zh-CN"/>
              </w:rPr>
            </w:pPr>
            <w:r>
              <w:rPr>
                <w:rFonts w:hint="default" w:ascii="Times New Roman" w:hAnsi="Times New Roman" w:cs="Times New Roman"/>
                <w:color w:val="auto"/>
                <w:sz w:val="24"/>
                <w:lang w:val="en-US" w:eastAsia="zh-CN"/>
              </w:rPr>
              <w:t>1</w:t>
            </w:r>
          </w:p>
        </w:tc>
        <w:tc>
          <w:tcPr>
            <w:tcW w:w="978" w:type="pct"/>
            <w:vAlign w:val="center"/>
          </w:tcPr>
          <w:p>
            <w:pPr>
              <w:spacing w:line="240" w:lineRule="auto"/>
              <w:ind w:firstLine="0" w:firstLineChars="0"/>
              <w:jc w:val="center"/>
              <w:rPr>
                <w:rFonts w:hint="default" w:ascii="Times New Roman" w:hAnsi="Times New Roman" w:eastAsia="仿宋" w:cs="Times New Roman"/>
                <w:color w:val="auto"/>
                <w:sz w:val="24"/>
                <w:lang w:eastAsia="zh-CN"/>
              </w:rPr>
            </w:pPr>
            <w:r>
              <w:rPr>
                <w:rFonts w:hint="default" w:ascii="Times New Roman" w:hAnsi="Times New Roman" w:cs="Times New Roman"/>
                <w:color w:val="auto"/>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325" w:type="pct"/>
            <w:vAlign w:val="center"/>
          </w:tcPr>
          <w:p>
            <w:pPr>
              <w:widowControl/>
              <w:spacing w:line="240" w:lineRule="auto"/>
              <w:ind w:firstLine="0" w:firstLineChars="0"/>
              <w:jc w:val="center"/>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10</w:t>
            </w:r>
          </w:p>
        </w:tc>
        <w:tc>
          <w:tcPr>
            <w:tcW w:w="2818" w:type="pct"/>
            <w:vAlign w:val="center"/>
          </w:tcPr>
          <w:p>
            <w:pPr>
              <w:widowControl/>
              <w:spacing w:line="240" w:lineRule="auto"/>
              <w:ind w:firstLine="0" w:firstLineChars="0"/>
              <w:jc w:val="center"/>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湖北省齐星汽车车身股份有限公司</w:t>
            </w:r>
          </w:p>
        </w:tc>
        <w:tc>
          <w:tcPr>
            <w:tcW w:w="877" w:type="pct"/>
            <w:vAlign w:val="center"/>
          </w:tcPr>
          <w:p>
            <w:pPr>
              <w:spacing w:line="240" w:lineRule="auto"/>
              <w:ind w:firstLine="0" w:firstLineChars="0"/>
              <w:jc w:val="center"/>
              <w:rPr>
                <w:rFonts w:hint="default" w:ascii="Times New Roman" w:hAnsi="Times New Roman" w:eastAsia="仿宋" w:cs="Times New Roman"/>
                <w:color w:val="auto"/>
                <w:sz w:val="24"/>
                <w:lang w:eastAsia="zh-CN"/>
              </w:rPr>
            </w:pPr>
            <w:r>
              <w:rPr>
                <w:rFonts w:hint="default" w:ascii="Times New Roman" w:hAnsi="Times New Roman" w:cs="Times New Roman"/>
                <w:color w:val="auto"/>
                <w:sz w:val="24"/>
                <w:lang w:val="en-US" w:eastAsia="zh-CN"/>
              </w:rPr>
              <w:t>1</w:t>
            </w:r>
          </w:p>
        </w:tc>
        <w:tc>
          <w:tcPr>
            <w:tcW w:w="978" w:type="pct"/>
            <w:vAlign w:val="center"/>
          </w:tcPr>
          <w:p>
            <w:pPr>
              <w:spacing w:line="240" w:lineRule="auto"/>
              <w:ind w:firstLine="0" w:firstLineChars="0"/>
              <w:jc w:val="center"/>
              <w:rPr>
                <w:rFonts w:hint="default" w:ascii="Times New Roman" w:hAnsi="Times New Roman" w:eastAsia="仿宋" w:cs="Times New Roman"/>
                <w:color w:val="auto"/>
                <w:sz w:val="24"/>
                <w:lang w:eastAsia="zh-CN"/>
              </w:rPr>
            </w:pPr>
            <w:r>
              <w:rPr>
                <w:rFonts w:hint="default" w:ascii="Times New Roman" w:hAnsi="Times New Roman" w:cs="Times New Roman"/>
                <w:color w:val="auto"/>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3143" w:type="pct"/>
            <w:gridSpan w:val="2"/>
            <w:vAlign w:val="center"/>
          </w:tcPr>
          <w:p>
            <w:pPr>
              <w:widowControl/>
              <w:spacing w:line="240" w:lineRule="auto"/>
              <w:ind w:firstLine="0" w:firstLineChars="0"/>
              <w:jc w:val="center"/>
              <w:rPr>
                <w:rFonts w:hint="default" w:ascii="Times New Roman" w:hAnsi="Times New Roman" w:cs="Times New Roman"/>
                <w:color w:val="auto"/>
                <w:sz w:val="24"/>
                <w:lang w:val="en-US" w:eastAsia="zh-CN"/>
              </w:rPr>
            </w:pPr>
            <w:bookmarkStart w:id="12" w:name="_Toc118884536"/>
            <w:r>
              <w:rPr>
                <w:rFonts w:hint="default" w:ascii="Times New Roman" w:hAnsi="Times New Roman" w:cs="Times New Roman"/>
                <w:color w:val="auto"/>
                <w:sz w:val="24"/>
                <w:lang w:val="en-US" w:eastAsia="zh-CN"/>
              </w:rPr>
              <w:t>合计</w:t>
            </w:r>
          </w:p>
        </w:tc>
        <w:tc>
          <w:tcPr>
            <w:tcW w:w="877" w:type="pct"/>
            <w:vAlign w:val="center"/>
          </w:tcPr>
          <w:p>
            <w:pPr>
              <w:widowControl/>
              <w:spacing w:line="240" w:lineRule="auto"/>
              <w:ind w:firstLine="0" w:firstLineChars="0"/>
              <w:jc w:val="center"/>
              <w:rPr>
                <w:rFonts w:hint="default" w:ascii="Times New Roman" w:hAnsi="Times New Roman" w:eastAsia="仿宋" w:cs="Times New Roman"/>
                <w:color w:val="auto"/>
                <w:sz w:val="24"/>
                <w:lang w:eastAsia="zh-CN"/>
              </w:rPr>
            </w:pPr>
            <w:r>
              <w:rPr>
                <w:rFonts w:hint="default" w:ascii="Times New Roman" w:hAnsi="Times New Roman" w:cs="Times New Roman"/>
                <w:color w:val="auto"/>
                <w:sz w:val="24"/>
                <w:lang w:val="en-US" w:eastAsia="zh-CN"/>
              </w:rPr>
              <w:t>8</w:t>
            </w:r>
          </w:p>
        </w:tc>
        <w:tc>
          <w:tcPr>
            <w:tcW w:w="978" w:type="pct"/>
            <w:vAlign w:val="center"/>
          </w:tcPr>
          <w:p>
            <w:pPr>
              <w:widowControl/>
              <w:spacing w:line="240" w:lineRule="auto"/>
              <w:ind w:firstLine="0" w:firstLineChars="0"/>
              <w:jc w:val="center"/>
              <w:textAlignment w:val="center"/>
              <w:rPr>
                <w:rFonts w:hint="default" w:ascii="Times New Roman" w:hAnsi="Times New Roman" w:eastAsia="宋体" w:cs="Times New Roman"/>
                <w:color w:val="auto"/>
                <w:kern w:val="0"/>
                <w:sz w:val="24"/>
                <w:lang w:val="en-US" w:eastAsia="zh-CN" w:bidi="ar"/>
              </w:rPr>
            </w:pPr>
            <w:r>
              <w:rPr>
                <w:rFonts w:hint="default" w:ascii="Times New Roman" w:hAnsi="Times New Roman" w:eastAsia="宋体" w:cs="Times New Roman"/>
                <w:color w:val="auto"/>
                <w:kern w:val="0"/>
                <w:sz w:val="24"/>
                <w:lang w:val="en-US" w:eastAsia="zh-CN" w:bidi="ar"/>
              </w:rPr>
              <w:t>21</w:t>
            </w:r>
          </w:p>
        </w:tc>
      </w:tr>
    </w:tbl>
    <w:p>
      <w:pPr>
        <w:pStyle w:val="5"/>
        <w:ind w:left="0" w:leftChars="0" w:firstLine="0" w:firstLineChars="0"/>
        <w:rPr>
          <w:rFonts w:hint="default" w:ascii="Times New Roman" w:hAnsi="Times New Roman" w:cs="Times New Roman"/>
          <w:color w:val="auto"/>
        </w:rPr>
      </w:pPr>
      <w:bookmarkStart w:id="13" w:name="_Toc28728"/>
      <w:bookmarkStart w:id="14" w:name="_Toc119252504"/>
      <w:bookmarkStart w:id="15" w:name="_Toc119252458"/>
      <w:r>
        <w:rPr>
          <w:rFonts w:hint="default" w:ascii="Times New Roman" w:hAnsi="Times New Roman" w:cs="Times New Roman"/>
          <w:color w:val="auto"/>
        </w:rPr>
        <w:t>1.2.3通讯基站</w:t>
      </w:r>
      <w:bookmarkEnd w:id="12"/>
      <w:bookmarkEnd w:id="13"/>
      <w:bookmarkEnd w:id="14"/>
      <w:bookmarkEnd w:id="15"/>
    </w:p>
    <w:p>
      <w:pPr>
        <w:ind w:firstLine="560"/>
        <w:rPr>
          <w:rFonts w:hint="default" w:ascii="Times New Roman" w:hAnsi="Times New Roman" w:cs="Times New Roman"/>
          <w:color w:val="auto"/>
          <w:spacing w:val="-6"/>
          <w:sz w:val="28"/>
        </w:rPr>
      </w:pPr>
      <w:r>
        <w:rPr>
          <w:rFonts w:hint="default" w:ascii="Times New Roman" w:hAnsi="Times New Roman" w:cs="Times New Roman"/>
          <w:color w:val="auto"/>
          <w:spacing w:val="-6"/>
          <w:sz w:val="28"/>
        </w:rPr>
        <w:t>本次共完成了</w:t>
      </w:r>
      <w:r>
        <w:rPr>
          <w:rFonts w:hint="default" w:ascii="Times New Roman" w:hAnsi="Times New Roman" w:cs="Times New Roman"/>
          <w:color w:val="auto"/>
          <w:spacing w:val="-6"/>
          <w:sz w:val="28"/>
          <w:lang w:val="en-US" w:eastAsia="zh-CN"/>
        </w:rPr>
        <w:t>20</w:t>
      </w:r>
      <w:r>
        <w:rPr>
          <w:rFonts w:hint="default" w:ascii="Times New Roman" w:hAnsi="Times New Roman" w:cs="Times New Roman"/>
          <w:color w:val="auto"/>
          <w:spacing w:val="-6"/>
          <w:sz w:val="28"/>
        </w:rPr>
        <w:t>座5G通讯基站的辐射环境监测工作，详见表1-4。</w:t>
      </w:r>
    </w:p>
    <w:p>
      <w:pPr>
        <w:ind w:firstLine="0" w:firstLineChars="0"/>
        <w:jc w:val="center"/>
        <w:rPr>
          <w:rFonts w:hint="default" w:ascii="Times New Roman" w:hAnsi="Times New Roman" w:eastAsia="黑体" w:cs="Times New Roman"/>
          <w:color w:val="auto"/>
          <w:sz w:val="24"/>
        </w:rPr>
      </w:pPr>
      <w:r>
        <w:rPr>
          <w:rFonts w:hint="default" w:ascii="Times New Roman" w:hAnsi="Times New Roman" w:eastAsia="黑体" w:cs="Times New Roman"/>
          <w:color w:val="auto"/>
          <w:sz w:val="24"/>
        </w:rPr>
        <w:t>表1-4  本项目5G通信基站名称及位置</w:t>
      </w:r>
    </w:p>
    <w:tbl>
      <w:tblPr>
        <w:tblStyle w:val="13"/>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4"/>
        <w:gridCol w:w="850"/>
        <w:gridCol w:w="3605"/>
        <w:gridCol w:w="36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534" w:type="dxa"/>
            <w:vAlign w:val="center"/>
          </w:tcPr>
          <w:p>
            <w:pPr>
              <w:spacing w:line="240" w:lineRule="auto"/>
              <w:ind w:firstLine="0" w:firstLineChars="0"/>
              <w:jc w:val="center"/>
              <w:rPr>
                <w:rFonts w:hint="default" w:ascii="Times New Roman" w:hAnsi="Times New Roman" w:cs="Times New Roman"/>
                <w:b/>
                <w:color w:val="auto"/>
                <w:sz w:val="24"/>
              </w:rPr>
            </w:pPr>
            <w:r>
              <w:rPr>
                <w:rFonts w:hint="default" w:ascii="Times New Roman" w:hAnsi="Times New Roman" w:cs="Times New Roman"/>
                <w:b/>
                <w:color w:val="auto"/>
                <w:sz w:val="24"/>
              </w:rPr>
              <w:t>序号</w:t>
            </w:r>
          </w:p>
        </w:tc>
        <w:tc>
          <w:tcPr>
            <w:tcW w:w="850" w:type="dxa"/>
            <w:vAlign w:val="center"/>
          </w:tcPr>
          <w:p>
            <w:pPr>
              <w:spacing w:line="240" w:lineRule="auto"/>
              <w:ind w:firstLine="0" w:firstLineChars="0"/>
              <w:jc w:val="center"/>
              <w:rPr>
                <w:rFonts w:hint="default" w:ascii="Times New Roman" w:hAnsi="Times New Roman" w:cs="Times New Roman"/>
                <w:b/>
                <w:color w:val="auto"/>
                <w:sz w:val="24"/>
              </w:rPr>
            </w:pPr>
            <w:r>
              <w:rPr>
                <w:rFonts w:hint="default" w:ascii="Times New Roman" w:hAnsi="Times New Roman" w:cs="Times New Roman"/>
                <w:b/>
                <w:color w:val="auto"/>
                <w:sz w:val="24"/>
              </w:rPr>
              <w:t>通讯公司</w:t>
            </w:r>
          </w:p>
        </w:tc>
        <w:tc>
          <w:tcPr>
            <w:tcW w:w="3605" w:type="dxa"/>
            <w:vAlign w:val="center"/>
          </w:tcPr>
          <w:p>
            <w:pPr>
              <w:spacing w:line="240" w:lineRule="auto"/>
              <w:ind w:firstLine="0" w:firstLineChars="0"/>
              <w:jc w:val="center"/>
              <w:rPr>
                <w:rFonts w:hint="default" w:ascii="Times New Roman" w:hAnsi="Times New Roman" w:eastAsia="仿宋" w:cs="Times New Roman"/>
                <w:b/>
                <w:color w:val="auto"/>
                <w:sz w:val="24"/>
                <w:lang w:eastAsia="zh-CN"/>
              </w:rPr>
            </w:pPr>
            <w:r>
              <w:rPr>
                <w:rFonts w:hint="default" w:ascii="Times New Roman" w:hAnsi="Times New Roman" w:cs="Times New Roman"/>
                <w:b/>
                <w:color w:val="auto"/>
                <w:sz w:val="24"/>
              </w:rPr>
              <w:t>基站</w:t>
            </w:r>
            <w:r>
              <w:rPr>
                <w:rFonts w:hint="default" w:ascii="Times New Roman" w:hAnsi="Times New Roman" w:cs="Times New Roman"/>
                <w:b/>
                <w:color w:val="auto"/>
                <w:sz w:val="24"/>
                <w:lang w:eastAsia="zh-CN"/>
              </w:rPr>
              <w:t>名称</w:t>
            </w:r>
          </w:p>
        </w:tc>
        <w:tc>
          <w:tcPr>
            <w:tcW w:w="3624" w:type="dxa"/>
            <w:vAlign w:val="center"/>
          </w:tcPr>
          <w:p>
            <w:pPr>
              <w:spacing w:line="240" w:lineRule="auto"/>
              <w:ind w:firstLine="0" w:firstLineChars="0"/>
              <w:jc w:val="center"/>
              <w:rPr>
                <w:rFonts w:hint="default" w:ascii="Times New Roman" w:hAnsi="Times New Roman" w:cs="Times New Roman"/>
                <w:b/>
                <w:color w:val="auto"/>
                <w:sz w:val="24"/>
              </w:rPr>
            </w:pPr>
            <w:r>
              <w:rPr>
                <w:rFonts w:hint="default" w:ascii="Times New Roman" w:hAnsi="Times New Roman" w:cs="Times New Roman"/>
                <w:b/>
                <w:color w:val="auto"/>
                <w:sz w:val="24"/>
              </w:rPr>
              <w:t>基站位置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1</w:t>
            </w:r>
          </w:p>
        </w:tc>
        <w:tc>
          <w:tcPr>
            <w:tcW w:w="850"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移动</w:t>
            </w:r>
          </w:p>
        </w:tc>
        <w:tc>
          <w:tcPr>
            <w:tcW w:w="3605" w:type="dxa"/>
            <w:vAlign w:val="center"/>
          </w:tcPr>
          <w:p>
            <w:pPr>
              <w:pStyle w:val="2"/>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仿宋" w:cs="Times New Roman"/>
                <w:color w:val="auto"/>
                <w:kern w:val="2"/>
                <w:sz w:val="24"/>
                <w:szCs w:val="24"/>
                <w:lang w:val="en-US" w:eastAsia="zh-CN" w:bidi="ar-SA"/>
              </w:rPr>
            </w:pPr>
            <w:r>
              <w:rPr>
                <w:rFonts w:hint="default" w:ascii="Times New Roman" w:hAnsi="Times New Roman" w:eastAsia="仿宋" w:cs="Times New Roman"/>
                <w:color w:val="auto"/>
                <w:kern w:val="2"/>
                <w:sz w:val="24"/>
                <w:szCs w:val="24"/>
                <w:lang w:val="en-US" w:eastAsia="zh-CN" w:bidi="ar-SA"/>
              </w:rPr>
              <w:t>随县厉山北岗村700M-H5H</w:t>
            </w:r>
          </w:p>
        </w:tc>
        <w:tc>
          <w:tcPr>
            <w:tcW w:w="362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lang w:eastAsia="zh-CN"/>
              </w:rPr>
              <w:t>随县厉山北岗村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2</w:t>
            </w:r>
          </w:p>
        </w:tc>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p>
        </w:tc>
        <w:tc>
          <w:tcPr>
            <w:tcW w:w="3605" w:type="dxa"/>
            <w:vAlign w:val="center"/>
          </w:tcPr>
          <w:p>
            <w:pPr>
              <w:pStyle w:val="2"/>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仿宋" w:cs="Times New Roman"/>
                <w:color w:val="auto"/>
                <w:kern w:val="2"/>
                <w:sz w:val="24"/>
                <w:szCs w:val="24"/>
                <w:lang w:val="en-US" w:eastAsia="zh-CN" w:bidi="ar-SA"/>
              </w:rPr>
            </w:pPr>
            <w:r>
              <w:rPr>
                <w:rFonts w:hint="default" w:ascii="Times New Roman" w:hAnsi="Times New Roman" w:eastAsia="仿宋" w:cs="Times New Roman"/>
                <w:color w:val="auto"/>
                <w:kern w:val="2"/>
                <w:sz w:val="24"/>
                <w:szCs w:val="24"/>
                <w:lang w:val="en-US" w:eastAsia="zh-CN" w:bidi="ar-SA"/>
              </w:rPr>
              <w:t>随县厉山风景区700M-H5H</w:t>
            </w:r>
          </w:p>
        </w:tc>
        <w:tc>
          <w:tcPr>
            <w:tcW w:w="362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lang w:eastAsia="zh-CN"/>
              </w:rPr>
              <w:t>随县厉山风景区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3</w:t>
            </w:r>
          </w:p>
        </w:tc>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p>
        </w:tc>
        <w:tc>
          <w:tcPr>
            <w:tcW w:w="3605" w:type="dxa"/>
            <w:vAlign w:val="center"/>
          </w:tcPr>
          <w:p>
            <w:pPr>
              <w:pStyle w:val="2"/>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仿宋" w:cs="Times New Roman"/>
                <w:color w:val="auto"/>
                <w:kern w:val="2"/>
                <w:sz w:val="24"/>
                <w:szCs w:val="24"/>
                <w:lang w:val="en-US" w:eastAsia="zh-CN" w:bidi="ar-SA"/>
              </w:rPr>
            </w:pPr>
            <w:r>
              <w:rPr>
                <w:rFonts w:hint="default" w:ascii="Times New Roman" w:hAnsi="Times New Roman" w:eastAsia="仿宋" w:cs="Times New Roman"/>
                <w:color w:val="auto"/>
                <w:kern w:val="2"/>
                <w:sz w:val="24"/>
                <w:szCs w:val="24"/>
                <w:lang w:val="en-US" w:eastAsia="zh-CN" w:bidi="ar-SA"/>
              </w:rPr>
              <w:t>D_曾都开发区管委会-H5H</w:t>
            </w:r>
          </w:p>
        </w:tc>
        <w:tc>
          <w:tcPr>
            <w:tcW w:w="362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仿宋" w:cs="Times New Roman"/>
                <w:color w:val="auto"/>
                <w:kern w:val="2"/>
                <w:sz w:val="24"/>
                <w:szCs w:val="24"/>
                <w:lang w:val="en-US" w:eastAsia="zh-CN" w:bidi="ar-SA"/>
              </w:rPr>
            </w:pPr>
            <w:r>
              <w:rPr>
                <w:rFonts w:hint="default" w:ascii="Times New Roman" w:hAnsi="Times New Roman" w:eastAsia="仿宋" w:cs="Times New Roman"/>
                <w:color w:val="auto"/>
                <w:kern w:val="2"/>
                <w:sz w:val="24"/>
                <w:szCs w:val="24"/>
                <w:lang w:val="en-US" w:eastAsia="zh-CN" w:bidi="ar-SA"/>
              </w:rPr>
              <w:t>曾都开发区管委会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4</w:t>
            </w:r>
          </w:p>
        </w:tc>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p>
        </w:tc>
        <w:tc>
          <w:tcPr>
            <w:tcW w:w="3605" w:type="dxa"/>
            <w:vAlign w:val="center"/>
          </w:tcPr>
          <w:p>
            <w:pPr>
              <w:pStyle w:val="2"/>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仿宋" w:cs="Times New Roman"/>
                <w:color w:val="auto"/>
                <w:kern w:val="2"/>
                <w:sz w:val="24"/>
                <w:szCs w:val="24"/>
                <w:lang w:val="en-US" w:eastAsia="zh-CN" w:bidi="ar-SA"/>
              </w:rPr>
            </w:pPr>
            <w:r>
              <w:rPr>
                <w:rFonts w:hint="default" w:ascii="Times New Roman" w:hAnsi="Times New Roman" w:eastAsia="仿宋" w:cs="Times New Roman"/>
                <w:color w:val="auto"/>
                <w:kern w:val="2"/>
                <w:sz w:val="24"/>
                <w:szCs w:val="24"/>
                <w:lang w:val="en-US" w:eastAsia="zh-CN" w:bidi="ar-SA"/>
              </w:rPr>
              <w:t>D_曾都湖北力威汽车-H5H</w:t>
            </w:r>
          </w:p>
        </w:tc>
        <w:tc>
          <w:tcPr>
            <w:tcW w:w="362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仿宋" w:cs="Times New Roman"/>
                <w:color w:val="auto"/>
                <w:kern w:val="2"/>
                <w:sz w:val="24"/>
                <w:szCs w:val="24"/>
                <w:lang w:val="en-US" w:eastAsia="zh-CN" w:bidi="ar-SA"/>
              </w:rPr>
            </w:pPr>
            <w:r>
              <w:rPr>
                <w:rFonts w:hint="default" w:ascii="Times New Roman" w:hAnsi="Times New Roman" w:eastAsia="仿宋" w:cs="Times New Roman"/>
                <w:color w:val="auto"/>
                <w:kern w:val="2"/>
                <w:sz w:val="24"/>
                <w:szCs w:val="24"/>
                <w:lang w:val="en-US" w:eastAsia="zh-CN" w:bidi="ar-SA"/>
              </w:rPr>
              <w:t>曾都湖北力威汽车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5</w:t>
            </w:r>
          </w:p>
        </w:tc>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p>
        </w:tc>
        <w:tc>
          <w:tcPr>
            <w:tcW w:w="3605" w:type="dxa"/>
            <w:vAlign w:val="center"/>
          </w:tcPr>
          <w:p>
            <w:pPr>
              <w:pStyle w:val="2"/>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仿宋" w:cs="Times New Roman"/>
                <w:color w:val="auto"/>
                <w:kern w:val="2"/>
                <w:sz w:val="24"/>
                <w:szCs w:val="24"/>
                <w:lang w:val="en-US" w:eastAsia="zh-CN" w:bidi="ar-SA"/>
              </w:rPr>
            </w:pPr>
            <w:r>
              <w:rPr>
                <w:rFonts w:hint="default" w:ascii="Times New Roman" w:hAnsi="Times New Roman" w:eastAsia="仿宋" w:cs="Times New Roman"/>
                <w:color w:val="auto"/>
                <w:kern w:val="2"/>
                <w:sz w:val="24"/>
                <w:szCs w:val="24"/>
                <w:lang w:val="en-US" w:eastAsia="zh-CN" w:bidi="ar-SA"/>
              </w:rPr>
              <w:t>D_广水大山口-H5H</w:t>
            </w:r>
          </w:p>
        </w:tc>
        <w:tc>
          <w:tcPr>
            <w:tcW w:w="362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仿宋" w:cs="Times New Roman"/>
                <w:color w:val="auto"/>
                <w:kern w:val="2"/>
                <w:sz w:val="24"/>
                <w:szCs w:val="24"/>
                <w:lang w:val="en-US" w:eastAsia="zh-CN" w:bidi="ar-SA"/>
              </w:rPr>
            </w:pPr>
            <w:r>
              <w:rPr>
                <w:rFonts w:hint="default" w:ascii="Times New Roman" w:hAnsi="Times New Roman" w:eastAsia="仿宋" w:cs="Times New Roman"/>
                <w:color w:val="auto"/>
                <w:kern w:val="2"/>
                <w:sz w:val="24"/>
                <w:szCs w:val="24"/>
                <w:lang w:val="en-US" w:eastAsia="zh-CN" w:bidi="ar-SA"/>
              </w:rPr>
              <w:t>广水大山口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6</w:t>
            </w:r>
          </w:p>
        </w:tc>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p>
        </w:tc>
        <w:tc>
          <w:tcPr>
            <w:tcW w:w="3605" w:type="dxa"/>
            <w:vAlign w:val="center"/>
          </w:tcPr>
          <w:p>
            <w:pPr>
              <w:pStyle w:val="2"/>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仿宋" w:cs="Times New Roman"/>
                <w:color w:val="auto"/>
                <w:kern w:val="2"/>
                <w:sz w:val="24"/>
                <w:szCs w:val="24"/>
                <w:lang w:val="en-US" w:eastAsia="zh-CN" w:bidi="ar-SA"/>
              </w:rPr>
            </w:pPr>
            <w:r>
              <w:rPr>
                <w:rFonts w:hint="default" w:ascii="Times New Roman" w:hAnsi="Times New Roman" w:eastAsia="仿宋" w:cs="Times New Roman"/>
                <w:color w:val="auto"/>
                <w:kern w:val="2"/>
                <w:sz w:val="24"/>
                <w:szCs w:val="24"/>
                <w:lang w:val="en-US" w:eastAsia="zh-CN" w:bidi="ar-SA"/>
              </w:rPr>
              <w:t>广水汽车年检中心700M-H5H</w:t>
            </w:r>
          </w:p>
        </w:tc>
        <w:tc>
          <w:tcPr>
            <w:tcW w:w="362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仿宋" w:cs="Times New Roman"/>
                <w:color w:val="auto"/>
                <w:kern w:val="2"/>
                <w:sz w:val="24"/>
                <w:szCs w:val="24"/>
                <w:lang w:val="en-US" w:eastAsia="zh-CN" w:bidi="ar-SA"/>
              </w:rPr>
            </w:pPr>
            <w:r>
              <w:rPr>
                <w:rFonts w:hint="default" w:ascii="Times New Roman" w:hAnsi="Times New Roman" w:eastAsia="仿宋" w:cs="Times New Roman"/>
                <w:color w:val="auto"/>
                <w:kern w:val="2"/>
                <w:sz w:val="24"/>
                <w:szCs w:val="24"/>
                <w:lang w:val="en-US" w:eastAsia="zh-CN" w:bidi="ar-SA"/>
              </w:rPr>
              <w:t>广水汽车年检中心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7</w:t>
            </w:r>
          </w:p>
        </w:tc>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p>
        </w:tc>
        <w:tc>
          <w:tcPr>
            <w:tcW w:w="3605" w:type="dxa"/>
            <w:vAlign w:val="center"/>
          </w:tcPr>
          <w:p>
            <w:pPr>
              <w:pStyle w:val="2"/>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仿宋" w:cs="Times New Roman"/>
                <w:color w:val="auto"/>
                <w:kern w:val="2"/>
                <w:sz w:val="24"/>
                <w:szCs w:val="24"/>
                <w:lang w:val="en-US" w:eastAsia="zh-CN" w:bidi="ar-SA"/>
              </w:rPr>
            </w:pPr>
            <w:r>
              <w:rPr>
                <w:rFonts w:hint="default" w:ascii="Times New Roman" w:hAnsi="Times New Roman" w:eastAsia="仿宋" w:cs="Times New Roman"/>
                <w:color w:val="auto"/>
                <w:kern w:val="2"/>
                <w:sz w:val="24"/>
                <w:szCs w:val="24"/>
                <w:lang w:val="en-US" w:eastAsia="zh-CN" w:bidi="ar-SA"/>
              </w:rPr>
              <w:t>广水湖北凯龙集团700M-H5H</w:t>
            </w:r>
          </w:p>
        </w:tc>
        <w:tc>
          <w:tcPr>
            <w:tcW w:w="362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仿宋" w:cs="Times New Roman"/>
                <w:color w:val="auto"/>
                <w:kern w:val="2"/>
                <w:sz w:val="24"/>
                <w:szCs w:val="24"/>
                <w:lang w:val="en-US" w:eastAsia="zh-CN" w:bidi="ar-SA"/>
              </w:rPr>
            </w:pPr>
            <w:r>
              <w:rPr>
                <w:rFonts w:hint="default" w:ascii="Times New Roman" w:hAnsi="Times New Roman" w:cs="Times New Roman"/>
                <w:color w:val="auto"/>
                <w:kern w:val="2"/>
                <w:sz w:val="24"/>
                <w:szCs w:val="24"/>
                <w:lang w:val="en-US" w:eastAsia="zh-CN" w:bidi="ar-SA"/>
              </w:rPr>
              <w:t>中国移动-</w:t>
            </w:r>
            <w:r>
              <w:rPr>
                <w:rFonts w:hint="default" w:ascii="Times New Roman" w:hAnsi="Times New Roman" w:eastAsia="仿宋" w:cs="Times New Roman"/>
                <w:color w:val="auto"/>
                <w:kern w:val="2"/>
                <w:sz w:val="24"/>
                <w:szCs w:val="24"/>
                <w:lang w:val="en-US" w:eastAsia="zh-CN" w:bidi="ar-SA"/>
              </w:rPr>
              <w:t>广水湖北凯龙集团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8</w:t>
            </w:r>
          </w:p>
        </w:tc>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p>
        </w:tc>
        <w:tc>
          <w:tcPr>
            <w:tcW w:w="3605" w:type="dxa"/>
            <w:vAlign w:val="center"/>
          </w:tcPr>
          <w:p>
            <w:pPr>
              <w:pStyle w:val="2"/>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仿宋" w:cs="Times New Roman"/>
                <w:color w:val="auto"/>
                <w:kern w:val="2"/>
                <w:sz w:val="24"/>
                <w:szCs w:val="24"/>
                <w:lang w:val="en-US" w:eastAsia="zh-CN" w:bidi="ar-SA"/>
              </w:rPr>
            </w:pPr>
            <w:r>
              <w:rPr>
                <w:rFonts w:hint="default" w:ascii="Times New Roman" w:hAnsi="Times New Roman" w:eastAsia="仿宋" w:cs="Times New Roman"/>
                <w:color w:val="auto"/>
                <w:kern w:val="2"/>
                <w:sz w:val="24"/>
                <w:szCs w:val="24"/>
                <w:lang w:val="en-US" w:eastAsia="zh-CN" w:bidi="ar-SA"/>
              </w:rPr>
              <w:t>广水九里河700M-H5H</w:t>
            </w:r>
          </w:p>
        </w:tc>
        <w:tc>
          <w:tcPr>
            <w:tcW w:w="362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仿宋" w:cs="Times New Roman"/>
                <w:color w:val="auto"/>
                <w:kern w:val="2"/>
                <w:sz w:val="24"/>
                <w:szCs w:val="24"/>
                <w:lang w:val="en-US" w:eastAsia="zh-CN" w:bidi="ar-SA"/>
              </w:rPr>
            </w:pPr>
            <w:r>
              <w:rPr>
                <w:rFonts w:hint="default" w:ascii="Times New Roman" w:hAnsi="Times New Roman" w:cs="Times New Roman"/>
                <w:color w:val="auto"/>
                <w:kern w:val="2"/>
                <w:sz w:val="24"/>
                <w:szCs w:val="24"/>
                <w:lang w:val="en-US" w:eastAsia="zh-CN" w:bidi="ar-SA"/>
              </w:rPr>
              <w:t>中国移动-</w:t>
            </w:r>
            <w:r>
              <w:rPr>
                <w:rFonts w:hint="default" w:ascii="Times New Roman" w:hAnsi="Times New Roman" w:eastAsia="仿宋" w:cs="Times New Roman"/>
                <w:color w:val="auto"/>
                <w:kern w:val="2"/>
                <w:sz w:val="24"/>
                <w:szCs w:val="24"/>
                <w:lang w:val="en-US" w:eastAsia="zh-CN" w:bidi="ar-SA"/>
              </w:rPr>
              <w:t>广水九里河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仿宋" w:cs="Times New Roman"/>
                <w:color w:val="auto"/>
                <w:sz w:val="24"/>
                <w:lang w:eastAsia="zh-CN"/>
              </w:rPr>
            </w:pPr>
            <w:r>
              <w:rPr>
                <w:rFonts w:hint="default" w:ascii="Times New Roman" w:hAnsi="Times New Roman" w:cs="Times New Roman"/>
                <w:color w:val="auto"/>
                <w:sz w:val="24"/>
                <w:lang w:val="en-US" w:eastAsia="zh-CN"/>
              </w:rPr>
              <w:t>9</w:t>
            </w:r>
          </w:p>
        </w:tc>
        <w:tc>
          <w:tcPr>
            <w:tcW w:w="850"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电信、联通共建</w:t>
            </w:r>
          </w:p>
        </w:tc>
        <w:tc>
          <w:tcPr>
            <w:tcW w:w="3605" w:type="dxa"/>
            <w:vAlign w:val="center"/>
          </w:tcPr>
          <w:p>
            <w:pPr>
              <w:pStyle w:val="2"/>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仿宋" w:cs="Times New Roman"/>
                <w:color w:val="auto"/>
                <w:kern w:val="2"/>
                <w:sz w:val="24"/>
                <w:szCs w:val="24"/>
                <w:lang w:val="en-US" w:eastAsia="zh-CN" w:bidi="ar-SA"/>
              </w:rPr>
            </w:pPr>
            <w:r>
              <w:rPr>
                <w:rFonts w:hint="default" w:ascii="Times New Roman" w:hAnsi="Times New Roman" w:eastAsia="仿宋" w:cs="Times New Roman"/>
                <w:color w:val="auto"/>
                <w:kern w:val="2"/>
                <w:sz w:val="24"/>
                <w:szCs w:val="24"/>
                <w:lang w:val="en-US" w:eastAsia="zh-CN" w:bidi="ar-SA"/>
              </w:rPr>
              <w:t>随州曾都区随州波导东门铁塔</w:t>
            </w:r>
          </w:p>
        </w:tc>
        <w:tc>
          <w:tcPr>
            <w:tcW w:w="362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eastAsia="仿宋" w:cs="Times New Roman"/>
                <w:color w:val="auto"/>
                <w:kern w:val="2"/>
                <w:sz w:val="24"/>
                <w:szCs w:val="24"/>
                <w:lang w:val="en-US" w:eastAsia="zh-CN" w:bidi="ar-SA"/>
              </w:rPr>
              <w:t>随州曾都区随州波导东门铁塔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仿宋" w:cs="Times New Roman"/>
                <w:color w:val="auto"/>
                <w:sz w:val="24"/>
                <w:lang w:eastAsia="zh-CN"/>
              </w:rPr>
            </w:pPr>
            <w:r>
              <w:rPr>
                <w:rFonts w:hint="default" w:ascii="Times New Roman" w:hAnsi="Times New Roman" w:cs="Times New Roman"/>
                <w:color w:val="auto"/>
                <w:sz w:val="24"/>
              </w:rPr>
              <w:t>1</w:t>
            </w:r>
            <w:r>
              <w:rPr>
                <w:rFonts w:hint="default" w:ascii="Times New Roman" w:hAnsi="Times New Roman" w:cs="Times New Roman"/>
                <w:color w:val="auto"/>
                <w:sz w:val="24"/>
                <w:lang w:val="en-US" w:eastAsia="zh-CN"/>
              </w:rPr>
              <w:t>0</w:t>
            </w:r>
          </w:p>
        </w:tc>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p>
        </w:tc>
        <w:tc>
          <w:tcPr>
            <w:tcW w:w="3605" w:type="dxa"/>
            <w:vAlign w:val="center"/>
          </w:tcPr>
          <w:p>
            <w:pPr>
              <w:pStyle w:val="2"/>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仿宋" w:cs="Times New Roman"/>
                <w:color w:val="auto"/>
                <w:kern w:val="2"/>
                <w:sz w:val="24"/>
                <w:szCs w:val="24"/>
                <w:lang w:val="en-US" w:eastAsia="zh-CN" w:bidi="ar-SA"/>
              </w:rPr>
            </w:pPr>
            <w:r>
              <w:rPr>
                <w:rFonts w:hint="default" w:ascii="Times New Roman" w:hAnsi="Times New Roman" w:eastAsia="仿宋" w:cs="Times New Roman"/>
                <w:color w:val="auto"/>
                <w:kern w:val="2"/>
                <w:sz w:val="24"/>
                <w:szCs w:val="24"/>
                <w:lang w:val="en-US" w:eastAsia="zh-CN" w:bidi="ar-SA"/>
              </w:rPr>
              <w:t>随州曾都区曾都东城新区公路二</w:t>
            </w:r>
          </w:p>
        </w:tc>
        <w:tc>
          <w:tcPr>
            <w:tcW w:w="362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eastAsia="仿宋" w:cs="Times New Roman"/>
                <w:color w:val="auto"/>
                <w:kern w:val="2"/>
                <w:sz w:val="24"/>
                <w:szCs w:val="24"/>
                <w:lang w:val="en-US" w:eastAsia="zh-CN" w:bidi="ar-SA"/>
              </w:rPr>
              <w:t>随州曾都区曾都东城新区公路二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仿宋" w:cs="Times New Roman"/>
                <w:color w:val="auto"/>
                <w:sz w:val="24"/>
                <w:lang w:eastAsia="zh-CN"/>
              </w:rPr>
            </w:pPr>
            <w:r>
              <w:rPr>
                <w:rFonts w:hint="default" w:ascii="Times New Roman" w:hAnsi="Times New Roman" w:cs="Times New Roman"/>
                <w:color w:val="auto"/>
                <w:sz w:val="24"/>
              </w:rPr>
              <w:t>1</w:t>
            </w:r>
            <w:r>
              <w:rPr>
                <w:rFonts w:hint="default" w:ascii="Times New Roman" w:hAnsi="Times New Roman" w:cs="Times New Roman"/>
                <w:color w:val="auto"/>
                <w:sz w:val="24"/>
                <w:lang w:val="en-US" w:eastAsia="zh-CN"/>
              </w:rPr>
              <w:t>1</w:t>
            </w:r>
          </w:p>
        </w:tc>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p>
        </w:tc>
        <w:tc>
          <w:tcPr>
            <w:tcW w:w="3605" w:type="dxa"/>
            <w:vAlign w:val="center"/>
          </w:tcPr>
          <w:p>
            <w:pPr>
              <w:pStyle w:val="2"/>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仿宋" w:cs="Times New Roman"/>
                <w:color w:val="auto"/>
                <w:kern w:val="2"/>
                <w:sz w:val="24"/>
                <w:szCs w:val="24"/>
                <w:lang w:val="en-US" w:eastAsia="zh-CN" w:bidi="ar-SA"/>
              </w:rPr>
            </w:pPr>
            <w:r>
              <w:rPr>
                <w:rFonts w:hint="default" w:ascii="Times New Roman" w:hAnsi="Times New Roman" w:eastAsia="仿宋" w:cs="Times New Roman"/>
                <w:color w:val="auto"/>
                <w:kern w:val="2"/>
                <w:sz w:val="24"/>
                <w:szCs w:val="24"/>
                <w:lang w:val="en-US" w:eastAsia="zh-CN" w:bidi="ar-SA"/>
              </w:rPr>
              <w:t>广水财政学校-2.1G-21</w:t>
            </w:r>
          </w:p>
        </w:tc>
        <w:tc>
          <w:tcPr>
            <w:tcW w:w="362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eastAsia="仿宋" w:cs="Times New Roman"/>
                <w:color w:val="auto"/>
                <w:kern w:val="2"/>
                <w:sz w:val="24"/>
                <w:szCs w:val="24"/>
                <w:lang w:val="en-US" w:eastAsia="zh-CN" w:bidi="ar-SA"/>
              </w:rPr>
              <w:t>广水财政学校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仿宋" w:cs="Times New Roman"/>
                <w:color w:val="auto"/>
                <w:sz w:val="24"/>
                <w:lang w:eastAsia="zh-CN"/>
              </w:rPr>
            </w:pPr>
            <w:r>
              <w:rPr>
                <w:rFonts w:hint="default" w:ascii="Times New Roman" w:hAnsi="Times New Roman" w:cs="Times New Roman"/>
                <w:color w:val="auto"/>
                <w:sz w:val="24"/>
              </w:rPr>
              <w:t>1</w:t>
            </w:r>
            <w:r>
              <w:rPr>
                <w:rFonts w:hint="default" w:ascii="Times New Roman" w:hAnsi="Times New Roman" w:cs="Times New Roman"/>
                <w:color w:val="auto"/>
                <w:sz w:val="24"/>
                <w:lang w:val="en-US" w:eastAsia="zh-CN"/>
              </w:rPr>
              <w:t>2</w:t>
            </w:r>
          </w:p>
        </w:tc>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p>
        </w:tc>
        <w:tc>
          <w:tcPr>
            <w:tcW w:w="3605" w:type="dxa"/>
            <w:vAlign w:val="center"/>
          </w:tcPr>
          <w:p>
            <w:pPr>
              <w:pStyle w:val="2"/>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仿宋" w:cs="Times New Roman"/>
                <w:color w:val="auto"/>
                <w:kern w:val="2"/>
                <w:sz w:val="24"/>
                <w:szCs w:val="24"/>
                <w:lang w:val="en-US" w:eastAsia="zh-CN" w:bidi="ar-SA"/>
              </w:rPr>
            </w:pPr>
            <w:r>
              <w:rPr>
                <w:rFonts w:hint="default" w:ascii="Times New Roman" w:hAnsi="Times New Roman" w:cs="Times New Roman"/>
                <w:color w:val="auto"/>
                <w:kern w:val="2"/>
                <w:sz w:val="24"/>
                <w:szCs w:val="24"/>
                <w:lang w:val="en-US" w:eastAsia="zh-CN" w:bidi="ar-SA"/>
              </w:rPr>
              <w:t>广水自来水厂-3.5G-21</w:t>
            </w:r>
          </w:p>
        </w:tc>
        <w:tc>
          <w:tcPr>
            <w:tcW w:w="362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kern w:val="2"/>
                <w:sz w:val="24"/>
                <w:szCs w:val="24"/>
                <w:lang w:val="en-US" w:eastAsia="zh-CN" w:bidi="ar-SA"/>
              </w:rPr>
              <w:t>广水自来水厂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仿宋" w:cs="Times New Roman"/>
                <w:color w:val="auto"/>
                <w:sz w:val="24"/>
                <w:lang w:eastAsia="zh-CN"/>
              </w:rPr>
            </w:pPr>
            <w:r>
              <w:rPr>
                <w:rFonts w:hint="default" w:ascii="Times New Roman" w:hAnsi="Times New Roman" w:cs="Times New Roman"/>
                <w:color w:val="auto"/>
                <w:sz w:val="24"/>
              </w:rPr>
              <w:t>1</w:t>
            </w:r>
            <w:r>
              <w:rPr>
                <w:rFonts w:hint="default" w:ascii="Times New Roman" w:hAnsi="Times New Roman" w:cs="Times New Roman"/>
                <w:color w:val="auto"/>
                <w:sz w:val="24"/>
                <w:lang w:val="en-US" w:eastAsia="zh-CN"/>
              </w:rPr>
              <w:t>3</w:t>
            </w:r>
          </w:p>
        </w:tc>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p>
        </w:tc>
        <w:tc>
          <w:tcPr>
            <w:tcW w:w="3605" w:type="dxa"/>
            <w:vAlign w:val="center"/>
          </w:tcPr>
          <w:p>
            <w:pPr>
              <w:pStyle w:val="2"/>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仿宋" w:cs="Times New Roman"/>
                <w:color w:val="auto"/>
                <w:kern w:val="2"/>
                <w:sz w:val="24"/>
                <w:szCs w:val="24"/>
                <w:lang w:val="en-US" w:eastAsia="zh-CN" w:bidi="ar-SA"/>
              </w:rPr>
            </w:pPr>
            <w:r>
              <w:rPr>
                <w:rFonts w:hint="default" w:ascii="Times New Roman" w:hAnsi="Times New Roman" w:eastAsia="仿宋" w:cs="Times New Roman"/>
                <w:color w:val="auto"/>
                <w:kern w:val="2"/>
                <w:sz w:val="24"/>
                <w:szCs w:val="24"/>
                <w:lang w:val="en-US" w:eastAsia="zh-CN" w:bidi="ar-SA"/>
              </w:rPr>
              <w:t>广水应山大道-3.5G-21</w:t>
            </w:r>
          </w:p>
        </w:tc>
        <w:tc>
          <w:tcPr>
            <w:tcW w:w="362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eastAsia="仿宋" w:cs="Times New Roman"/>
                <w:color w:val="auto"/>
                <w:kern w:val="2"/>
                <w:sz w:val="24"/>
                <w:szCs w:val="24"/>
                <w:lang w:val="en-US" w:eastAsia="zh-CN" w:bidi="ar-SA"/>
              </w:rPr>
              <w:t>广水应山大道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仿宋" w:cs="Times New Roman"/>
                <w:color w:val="auto"/>
                <w:sz w:val="24"/>
                <w:lang w:val="en-US" w:eastAsia="zh-CN"/>
              </w:rPr>
            </w:pPr>
            <w:r>
              <w:rPr>
                <w:rFonts w:hint="default" w:ascii="Times New Roman" w:hAnsi="Times New Roman" w:cs="Times New Roman"/>
                <w:color w:val="auto"/>
                <w:sz w:val="24"/>
                <w:lang w:val="en-US" w:eastAsia="zh-CN"/>
              </w:rPr>
              <w:t>14</w:t>
            </w:r>
          </w:p>
        </w:tc>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p>
        </w:tc>
        <w:tc>
          <w:tcPr>
            <w:tcW w:w="3605" w:type="dxa"/>
            <w:vAlign w:val="center"/>
          </w:tcPr>
          <w:p>
            <w:pPr>
              <w:pStyle w:val="2"/>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仿宋" w:cs="Times New Roman"/>
                <w:color w:val="auto"/>
                <w:kern w:val="2"/>
                <w:sz w:val="24"/>
                <w:szCs w:val="24"/>
                <w:lang w:val="en-US" w:eastAsia="zh-CN" w:bidi="ar-SA"/>
              </w:rPr>
            </w:pPr>
            <w:r>
              <w:rPr>
                <w:rFonts w:hint="default" w:ascii="Times New Roman" w:hAnsi="Times New Roman" w:eastAsia="仿宋" w:cs="Times New Roman"/>
                <w:color w:val="auto"/>
                <w:kern w:val="2"/>
                <w:sz w:val="24"/>
                <w:szCs w:val="24"/>
                <w:lang w:val="en-US" w:eastAsia="zh-CN" w:bidi="ar-SA"/>
              </w:rPr>
              <w:t>广水人行桥-3.5G-21</w:t>
            </w:r>
          </w:p>
        </w:tc>
        <w:tc>
          <w:tcPr>
            <w:tcW w:w="362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eastAsia="仿宋" w:cs="Times New Roman"/>
                <w:color w:val="auto"/>
                <w:kern w:val="2"/>
                <w:sz w:val="24"/>
                <w:szCs w:val="24"/>
                <w:lang w:val="en-US" w:eastAsia="zh-CN" w:bidi="ar-SA"/>
              </w:rPr>
              <w:t>广水人行桥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仿宋" w:cs="Times New Roman"/>
                <w:color w:val="auto"/>
                <w:sz w:val="24"/>
                <w:lang w:val="en-US" w:eastAsia="zh-CN"/>
              </w:rPr>
            </w:pPr>
            <w:r>
              <w:rPr>
                <w:rFonts w:hint="default" w:ascii="Times New Roman" w:hAnsi="Times New Roman" w:cs="Times New Roman"/>
                <w:color w:val="auto"/>
                <w:sz w:val="24"/>
                <w:lang w:val="en-US" w:eastAsia="zh-CN"/>
              </w:rPr>
              <w:t>15</w:t>
            </w:r>
          </w:p>
        </w:tc>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p>
        </w:tc>
        <w:tc>
          <w:tcPr>
            <w:tcW w:w="3605" w:type="dxa"/>
            <w:vAlign w:val="center"/>
          </w:tcPr>
          <w:p>
            <w:pPr>
              <w:pStyle w:val="2"/>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仿宋" w:cs="Times New Roman"/>
                <w:color w:val="auto"/>
                <w:kern w:val="2"/>
                <w:sz w:val="24"/>
                <w:szCs w:val="24"/>
                <w:lang w:val="en-US" w:eastAsia="zh-CN" w:bidi="ar-SA"/>
              </w:rPr>
            </w:pPr>
            <w:r>
              <w:rPr>
                <w:rFonts w:hint="default" w:ascii="Times New Roman" w:hAnsi="Times New Roman" w:eastAsia="仿宋" w:cs="Times New Roman"/>
                <w:color w:val="auto"/>
                <w:kern w:val="2"/>
                <w:sz w:val="24"/>
                <w:szCs w:val="24"/>
                <w:lang w:val="en-US" w:eastAsia="zh-CN" w:bidi="ar-SA"/>
              </w:rPr>
              <w:t>随州随县一中-2.1G-21</w:t>
            </w:r>
          </w:p>
        </w:tc>
        <w:tc>
          <w:tcPr>
            <w:tcW w:w="362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仿宋" w:cs="Times New Roman"/>
                <w:color w:val="auto"/>
                <w:kern w:val="2"/>
                <w:sz w:val="24"/>
                <w:szCs w:val="24"/>
                <w:lang w:val="en-US" w:eastAsia="zh-CN" w:bidi="ar-SA"/>
              </w:rPr>
            </w:pPr>
            <w:r>
              <w:rPr>
                <w:rFonts w:hint="default" w:ascii="Times New Roman" w:hAnsi="Times New Roman" w:cs="Times New Roman"/>
                <w:color w:val="auto"/>
                <w:sz w:val="24"/>
              </w:rPr>
              <w:t>随州随县一中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仿宋" w:cs="Times New Roman"/>
                <w:color w:val="auto"/>
                <w:sz w:val="24"/>
                <w:lang w:val="en-US" w:eastAsia="zh-CN"/>
              </w:rPr>
            </w:pPr>
            <w:r>
              <w:rPr>
                <w:rFonts w:hint="default" w:ascii="Times New Roman" w:hAnsi="Times New Roman" w:cs="Times New Roman"/>
                <w:color w:val="auto"/>
                <w:sz w:val="24"/>
                <w:lang w:val="en-US" w:eastAsia="zh-CN"/>
              </w:rPr>
              <w:t>16</w:t>
            </w:r>
          </w:p>
        </w:tc>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p>
        </w:tc>
        <w:tc>
          <w:tcPr>
            <w:tcW w:w="3605" w:type="dxa"/>
            <w:vAlign w:val="center"/>
          </w:tcPr>
          <w:p>
            <w:pPr>
              <w:pStyle w:val="2"/>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仿宋" w:cs="Times New Roman"/>
                <w:color w:val="auto"/>
                <w:kern w:val="2"/>
                <w:sz w:val="24"/>
                <w:szCs w:val="24"/>
                <w:lang w:val="en-US" w:eastAsia="zh-CN" w:bidi="ar-SA"/>
              </w:rPr>
            </w:pPr>
            <w:r>
              <w:rPr>
                <w:rFonts w:hint="default" w:ascii="Times New Roman" w:hAnsi="Times New Roman" w:eastAsia="仿宋" w:cs="Times New Roman"/>
                <w:color w:val="auto"/>
                <w:kern w:val="2"/>
                <w:sz w:val="24"/>
                <w:szCs w:val="24"/>
                <w:lang w:val="en-US" w:eastAsia="zh-CN" w:bidi="ar-SA"/>
              </w:rPr>
              <w:t>随州随县星炬小区-2.1G-21</w:t>
            </w:r>
          </w:p>
        </w:tc>
        <w:tc>
          <w:tcPr>
            <w:tcW w:w="362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仿宋" w:cs="Times New Roman"/>
                <w:color w:val="auto"/>
                <w:kern w:val="2"/>
                <w:sz w:val="24"/>
                <w:szCs w:val="24"/>
                <w:lang w:val="en-US" w:eastAsia="zh-CN" w:bidi="ar-SA"/>
              </w:rPr>
            </w:pPr>
            <w:r>
              <w:rPr>
                <w:rFonts w:hint="default" w:ascii="Times New Roman" w:hAnsi="Times New Roman" w:eastAsia="仿宋" w:cs="Times New Roman"/>
                <w:color w:val="auto"/>
                <w:kern w:val="2"/>
                <w:sz w:val="24"/>
                <w:szCs w:val="24"/>
                <w:lang w:val="en-US" w:eastAsia="zh-CN" w:bidi="ar-SA"/>
              </w:rPr>
              <w:t>随州随县星炬小区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仿宋" w:cs="Times New Roman"/>
                <w:color w:val="auto"/>
                <w:sz w:val="24"/>
                <w:lang w:val="en-US" w:eastAsia="zh-CN"/>
              </w:rPr>
            </w:pPr>
            <w:r>
              <w:rPr>
                <w:rFonts w:hint="default" w:ascii="Times New Roman" w:hAnsi="Times New Roman" w:cs="Times New Roman"/>
                <w:color w:val="auto"/>
                <w:sz w:val="24"/>
                <w:lang w:val="en-US" w:eastAsia="zh-CN"/>
              </w:rPr>
              <w:t>17</w:t>
            </w:r>
          </w:p>
        </w:tc>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p>
        </w:tc>
        <w:tc>
          <w:tcPr>
            <w:tcW w:w="3605" w:type="dxa"/>
            <w:vAlign w:val="center"/>
          </w:tcPr>
          <w:p>
            <w:pPr>
              <w:pStyle w:val="2"/>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仿宋" w:cs="Times New Roman"/>
                <w:color w:val="auto"/>
                <w:kern w:val="2"/>
                <w:sz w:val="24"/>
                <w:szCs w:val="24"/>
                <w:lang w:val="en-US" w:eastAsia="zh-CN" w:bidi="ar-SA"/>
              </w:rPr>
            </w:pPr>
            <w:r>
              <w:rPr>
                <w:rFonts w:hint="default" w:ascii="Times New Roman" w:hAnsi="Times New Roman" w:eastAsia="仿宋" w:cs="Times New Roman"/>
                <w:color w:val="auto"/>
                <w:kern w:val="2"/>
                <w:sz w:val="24"/>
                <w:szCs w:val="24"/>
                <w:lang w:val="en-US" w:eastAsia="zh-CN" w:bidi="ar-SA"/>
              </w:rPr>
              <w:t>随州随县电信局-2.1G-21</w:t>
            </w:r>
          </w:p>
        </w:tc>
        <w:tc>
          <w:tcPr>
            <w:tcW w:w="362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仿宋" w:cs="Times New Roman"/>
                <w:color w:val="auto"/>
                <w:kern w:val="2"/>
                <w:sz w:val="24"/>
                <w:szCs w:val="24"/>
                <w:lang w:val="en-US" w:eastAsia="zh-CN" w:bidi="ar-SA"/>
              </w:rPr>
            </w:pPr>
            <w:r>
              <w:rPr>
                <w:rFonts w:hint="default" w:ascii="Times New Roman" w:hAnsi="Times New Roman" w:eastAsia="仿宋" w:cs="Times New Roman"/>
                <w:color w:val="auto"/>
                <w:kern w:val="2"/>
                <w:sz w:val="24"/>
                <w:szCs w:val="24"/>
                <w:lang w:val="en-US" w:eastAsia="zh-CN" w:bidi="ar-SA"/>
              </w:rPr>
              <w:t>随州随县电信局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仿宋" w:cs="Times New Roman"/>
                <w:color w:val="auto"/>
                <w:sz w:val="24"/>
                <w:lang w:val="en-US" w:eastAsia="zh-CN"/>
              </w:rPr>
            </w:pPr>
            <w:r>
              <w:rPr>
                <w:rFonts w:hint="default" w:ascii="Times New Roman" w:hAnsi="Times New Roman" w:cs="Times New Roman"/>
                <w:color w:val="auto"/>
                <w:sz w:val="24"/>
                <w:lang w:val="en-US" w:eastAsia="zh-CN"/>
              </w:rPr>
              <w:t>18</w:t>
            </w:r>
          </w:p>
        </w:tc>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p>
        </w:tc>
        <w:tc>
          <w:tcPr>
            <w:tcW w:w="3605" w:type="dxa"/>
            <w:vAlign w:val="center"/>
          </w:tcPr>
          <w:p>
            <w:pPr>
              <w:pStyle w:val="2"/>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仿宋" w:cs="Times New Roman"/>
                <w:color w:val="auto"/>
                <w:kern w:val="2"/>
                <w:sz w:val="24"/>
                <w:szCs w:val="24"/>
                <w:lang w:val="en-US" w:eastAsia="zh-CN" w:bidi="ar-SA"/>
              </w:rPr>
            </w:pPr>
            <w:r>
              <w:rPr>
                <w:rFonts w:hint="default" w:ascii="Times New Roman" w:hAnsi="Times New Roman" w:eastAsia="仿宋" w:cs="Times New Roman"/>
                <w:color w:val="auto"/>
                <w:kern w:val="2"/>
                <w:sz w:val="24"/>
                <w:szCs w:val="24"/>
                <w:lang w:val="en-US" w:eastAsia="zh-CN" w:bidi="ar-SA"/>
              </w:rPr>
              <w:t>随州随县供销社-2.1G-21</w:t>
            </w:r>
          </w:p>
        </w:tc>
        <w:tc>
          <w:tcPr>
            <w:tcW w:w="362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仿宋" w:cs="Times New Roman"/>
                <w:color w:val="auto"/>
                <w:kern w:val="2"/>
                <w:sz w:val="24"/>
                <w:szCs w:val="24"/>
                <w:lang w:val="en-US" w:eastAsia="zh-CN" w:bidi="ar-SA"/>
              </w:rPr>
            </w:pPr>
            <w:r>
              <w:rPr>
                <w:rFonts w:hint="default" w:ascii="Times New Roman" w:hAnsi="Times New Roman" w:eastAsia="仿宋" w:cs="Times New Roman"/>
                <w:color w:val="auto"/>
                <w:kern w:val="2"/>
                <w:sz w:val="24"/>
                <w:szCs w:val="24"/>
                <w:lang w:val="en-US" w:eastAsia="zh-CN" w:bidi="ar-SA"/>
              </w:rPr>
              <w:t>随州随县供销社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仿宋" w:cs="Times New Roman"/>
                <w:color w:val="auto"/>
                <w:sz w:val="24"/>
                <w:lang w:val="en-US" w:eastAsia="zh-CN"/>
              </w:rPr>
            </w:pPr>
            <w:r>
              <w:rPr>
                <w:rFonts w:hint="default" w:ascii="Times New Roman" w:hAnsi="Times New Roman" w:cs="Times New Roman"/>
                <w:color w:val="auto"/>
                <w:sz w:val="24"/>
                <w:lang w:val="en-US" w:eastAsia="zh-CN"/>
              </w:rPr>
              <w:t>19</w:t>
            </w:r>
          </w:p>
        </w:tc>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p>
        </w:tc>
        <w:tc>
          <w:tcPr>
            <w:tcW w:w="3605" w:type="dxa"/>
            <w:vAlign w:val="center"/>
          </w:tcPr>
          <w:p>
            <w:pPr>
              <w:pStyle w:val="2"/>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仿宋" w:cs="Times New Roman"/>
                <w:color w:val="auto"/>
                <w:kern w:val="2"/>
                <w:sz w:val="24"/>
                <w:szCs w:val="24"/>
                <w:lang w:val="en-US" w:eastAsia="zh-CN" w:bidi="ar-SA"/>
              </w:rPr>
            </w:pPr>
            <w:r>
              <w:rPr>
                <w:rFonts w:hint="default" w:ascii="Times New Roman" w:hAnsi="Times New Roman" w:eastAsia="仿宋" w:cs="Times New Roman"/>
                <w:color w:val="auto"/>
                <w:kern w:val="2"/>
                <w:sz w:val="24"/>
                <w:szCs w:val="24"/>
                <w:lang w:val="en-US" w:eastAsia="zh-CN" w:bidi="ar-SA"/>
              </w:rPr>
              <w:t>随州曾都区两水三友公司</w:t>
            </w:r>
          </w:p>
        </w:tc>
        <w:tc>
          <w:tcPr>
            <w:tcW w:w="362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仿宋" w:cs="Times New Roman"/>
                <w:color w:val="auto"/>
                <w:kern w:val="2"/>
                <w:sz w:val="24"/>
                <w:szCs w:val="24"/>
                <w:lang w:val="en-US" w:eastAsia="zh-CN" w:bidi="ar-SA"/>
              </w:rPr>
            </w:pPr>
            <w:r>
              <w:rPr>
                <w:rFonts w:hint="default" w:ascii="Times New Roman" w:hAnsi="Times New Roman" w:eastAsia="仿宋" w:cs="Times New Roman"/>
                <w:color w:val="auto"/>
                <w:kern w:val="2"/>
                <w:sz w:val="24"/>
                <w:szCs w:val="24"/>
                <w:lang w:val="en-US" w:eastAsia="zh-CN" w:bidi="ar-SA"/>
              </w:rPr>
              <w:t>随州曾都区两水三友公司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仿宋" w:cs="Times New Roman"/>
                <w:color w:val="auto"/>
                <w:sz w:val="24"/>
                <w:lang w:val="en-US" w:eastAsia="zh-CN"/>
              </w:rPr>
            </w:pPr>
            <w:r>
              <w:rPr>
                <w:rFonts w:hint="default" w:ascii="Times New Roman" w:hAnsi="Times New Roman" w:cs="Times New Roman"/>
                <w:color w:val="auto"/>
                <w:sz w:val="24"/>
                <w:lang w:val="en-US" w:eastAsia="zh-CN"/>
              </w:rPr>
              <w:t>20</w:t>
            </w:r>
          </w:p>
        </w:tc>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p>
        </w:tc>
        <w:tc>
          <w:tcPr>
            <w:tcW w:w="3605"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仿宋" w:cs="Times New Roman"/>
                <w:color w:val="auto"/>
                <w:kern w:val="2"/>
                <w:sz w:val="24"/>
                <w:szCs w:val="24"/>
                <w:lang w:val="en-US" w:eastAsia="zh-CN" w:bidi="ar-SA"/>
              </w:rPr>
            </w:pPr>
            <w:r>
              <w:rPr>
                <w:rFonts w:hint="default" w:ascii="Times New Roman" w:hAnsi="Times New Roman" w:eastAsia="仿宋" w:cs="Times New Roman"/>
                <w:color w:val="auto"/>
                <w:kern w:val="2"/>
                <w:sz w:val="24"/>
                <w:szCs w:val="24"/>
                <w:lang w:val="en-US" w:eastAsia="zh-CN" w:bidi="ar-SA"/>
              </w:rPr>
              <w:t>随州曾都区随州曾都祥丰化肥厂</w:t>
            </w:r>
          </w:p>
        </w:tc>
        <w:tc>
          <w:tcPr>
            <w:tcW w:w="362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仿宋" w:cs="Times New Roman"/>
                <w:color w:val="auto"/>
                <w:kern w:val="2"/>
                <w:sz w:val="24"/>
                <w:szCs w:val="24"/>
                <w:lang w:val="en-US" w:eastAsia="zh-CN" w:bidi="ar-SA"/>
              </w:rPr>
            </w:pPr>
            <w:r>
              <w:rPr>
                <w:rFonts w:hint="default" w:ascii="Times New Roman" w:hAnsi="Times New Roman" w:eastAsia="仿宋" w:cs="Times New Roman"/>
                <w:color w:val="auto"/>
                <w:kern w:val="2"/>
                <w:sz w:val="24"/>
                <w:szCs w:val="24"/>
                <w:lang w:val="en-US" w:eastAsia="zh-CN" w:bidi="ar-SA"/>
              </w:rPr>
              <w:t>随州曾都区随州曾都祥丰化肥厂</w:t>
            </w:r>
          </w:p>
        </w:tc>
      </w:tr>
    </w:tbl>
    <w:p>
      <w:pPr>
        <w:pStyle w:val="4"/>
        <w:ind w:left="0" w:leftChars="0" w:firstLine="0" w:firstLineChars="0"/>
        <w:rPr>
          <w:rFonts w:hint="default" w:ascii="Times New Roman" w:hAnsi="Times New Roman" w:cs="Times New Roman"/>
          <w:color w:val="auto"/>
        </w:rPr>
      </w:pPr>
      <w:bookmarkStart w:id="16" w:name="_Toc11484"/>
      <w:r>
        <w:rPr>
          <w:rFonts w:hint="default" w:ascii="Times New Roman" w:hAnsi="Times New Roman" w:cs="Times New Roman"/>
          <w:color w:val="auto"/>
        </w:rPr>
        <w:t>1.3监测单位</w:t>
      </w:r>
      <w:bookmarkEnd w:id="16"/>
    </w:p>
    <w:p>
      <w:pPr>
        <w:ind w:firstLine="560"/>
        <w:rPr>
          <w:rFonts w:hint="default" w:ascii="Times New Roman" w:hAnsi="Times New Roman" w:cs="Times New Roman"/>
          <w:color w:val="auto"/>
        </w:rPr>
      </w:pPr>
      <w:r>
        <w:rPr>
          <w:rFonts w:hint="default" w:ascii="Times New Roman" w:hAnsi="Times New Roman" w:cs="Times New Roman"/>
          <w:color w:val="auto"/>
        </w:rPr>
        <w:t>本项目监测单位为湖北省核工业放射性核素检测实验中心，CMA资质证书编号为171720180424，发证机关为</w:t>
      </w:r>
      <w:r>
        <w:rPr>
          <w:rFonts w:hint="eastAsia" w:ascii="Times New Roman" w:hAnsi="Times New Roman" w:cs="Times New Roman"/>
          <w:color w:val="auto"/>
          <w:lang w:eastAsia="zh-CN"/>
        </w:rPr>
        <w:t>原</w:t>
      </w:r>
      <w:r>
        <w:rPr>
          <w:rFonts w:hint="default" w:ascii="Times New Roman" w:hAnsi="Times New Roman" w:cs="Times New Roman"/>
          <w:color w:val="auto"/>
        </w:rPr>
        <w:t>湖北省质量技术监督局，有效期至2023年12月27日，详见附件2。</w:t>
      </w:r>
    </w:p>
    <w:p>
      <w:pPr>
        <w:pStyle w:val="3"/>
        <w:ind w:firstLine="720"/>
        <w:rPr>
          <w:rFonts w:hint="default" w:ascii="Times New Roman" w:hAnsi="Times New Roman" w:cs="Times New Roman"/>
          <w:color w:val="auto"/>
        </w:rPr>
        <w:sectPr>
          <w:footerReference r:id="rId11" w:type="default"/>
          <w:pgSz w:w="11906" w:h="16838"/>
          <w:pgMar w:top="1440" w:right="1800" w:bottom="1440" w:left="1800" w:header="851" w:footer="992" w:gutter="0"/>
          <w:cols w:space="425" w:num="1"/>
          <w:docGrid w:type="lines" w:linePitch="312" w:charSpace="0"/>
        </w:sectPr>
      </w:pPr>
    </w:p>
    <w:p>
      <w:pPr>
        <w:pStyle w:val="3"/>
        <w:ind w:left="0" w:leftChars="0" w:firstLine="0" w:firstLineChars="0"/>
        <w:rPr>
          <w:rFonts w:hint="default" w:ascii="Times New Roman" w:hAnsi="Times New Roman" w:cs="Times New Roman"/>
          <w:color w:val="auto"/>
        </w:rPr>
      </w:pPr>
      <w:bookmarkStart w:id="17" w:name="_Toc21526"/>
      <w:r>
        <w:rPr>
          <w:rFonts w:hint="default" w:ascii="Times New Roman" w:hAnsi="Times New Roman" w:cs="Times New Roman"/>
          <w:color w:val="auto"/>
        </w:rPr>
        <w:t>2 监测方法</w:t>
      </w:r>
      <w:bookmarkEnd w:id="17"/>
    </w:p>
    <w:p>
      <w:pPr>
        <w:pStyle w:val="4"/>
        <w:ind w:left="0" w:leftChars="0" w:firstLine="0" w:firstLineChars="0"/>
        <w:rPr>
          <w:rFonts w:hint="default" w:ascii="Times New Roman" w:hAnsi="Times New Roman" w:cs="Times New Roman"/>
          <w:color w:val="auto"/>
        </w:rPr>
      </w:pPr>
      <w:bookmarkStart w:id="18" w:name="_Toc8290"/>
      <w:r>
        <w:rPr>
          <w:rFonts w:hint="default" w:ascii="Times New Roman" w:hAnsi="Times New Roman" w:cs="Times New Roman"/>
          <w:color w:val="auto"/>
        </w:rPr>
        <w:t>2.1监测方法标准</w:t>
      </w:r>
      <w:bookmarkEnd w:id="18"/>
    </w:p>
    <w:p>
      <w:pPr>
        <w:ind w:firstLine="560"/>
        <w:rPr>
          <w:rFonts w:hint="default" w:ascii="Times New Roman" w:hAnsi="Times New Roman" w:cs="Times New Roman"/>
          <w:color w:val="auto"/>
        </w:rPr>
      </w:pPr>
      <w:r>
        <w:rPr>
          <w:rFonts w:hint="default" w:ascii="Times New Roman" w:hAnsi="Times New Roman" w:cs="Times New Roman"/>
          <w:color w:val="auto"/>
        </w:rPr>
        <w:t>本项目采用的监测标准均为国家标准或行业标准，详见表2-1。</w:t>
      </w:r>
    </w:p>
    <w:p>
      <w:pPr>
        <w:ind w:firstLine="0" w:firstLineChars="0"/>
        <w:jc w:val="center"/>
        <w:rPr>
          <w:rFonts w:hint="default" w:ascii="Times New Roman" w:hAnsi="Times New Roman" w:eastAsia="黑体" w:cs="Times New Roman"/>
          <w:color w:val="auto"/>
          <w:sz w:val="24"/>
        </w:rPr>
      </w:pPr>
      <w:r>
        <w:rPr>
          <w:rFonts w:hint="default" w:ascii="Times New Roman" w:hAnsi="Times New Roman" w:eastAsia="黑体" w:cs="Times New Roman"/>
          <w:color w:val="auto"/>
          <w:sz w:val="24"/>
        </w:rPr>
        <w:t>表2-1  本项目监测因子及方法标准</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8"/>
        <w:gridCol w:w="1984"/>
        <w:gridCol w:w="4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color w:val="auto"/>
                <w:sz w:val="24"/>
              </w:rPr>
            </w:pPr>
            <w:r>
              <w:rPr>
                <w:rFonts w:hint="default" w:ascii="Times New Roman" w:hAnsi="Times New Roman" w:cs="Times New Roman"/>
                <w:b/>
                <w:color w:val="auto"/>
                <w:sz w:val="24"/>
              </w:rPr>
              <w:t>监测对象</w:t>
            </w:r>
          </w:p>
        </w:tc>
        <w:tc>
          <w:tcPr>
            <w:tcW w:w="198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color w:val="auto"/>
                <w:sz w:val="24"/>
              </w:rPr>
            </w:pPr>
            <w:r>
              <w:rPr>
                <w:rFonts w:hint="default" w:ascii="Times New Roman" w:hAnsi="Times New Roman" w:cs="Times New Roman"/>
                <w:b/>
                <w:color w:val="auto"/>
                <w:sz w:val="24"/>
              </w:rPr>
              <w:t>监测因子</w:t>
            </w:r>
          </w:p>
        </w:tc>
        <w:tc>
          <w:tcPr>
            <w:tcW w:w="4870"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color w:val="auto"/>
                <w:sz w:val="24"/>
              </w:rPr>
            </w:pPr>
            <w:r>
              <w:rPr>
                <w:rFonts w:hint="default" w:ascii="Times New Roman" w:hAnsi="Times New Roman" w:cs="Times New Roman"/>
                <w:b/>
                <w:color w:val="auto"/>
                <w:sz w:val="24"/>
              </w:rPr>
              <w:t>方法标准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密封放射源</w:t>
            </w:r>
          </w:p>
        </w:tc>
        <w:tc>
          <w:tcPr>
            <w:tcW w:w="198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X-γ辐射剂量率</w:t>
            </w:r>
          </w:p>
        </w:tc>
        <w:tc>
          <w:tcPr>
            <w:tcW w:w="4870"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《含密封源仪表的放射卫生防护要求》</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（GBZ 125-2009）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射线装置</w:t>
            </w:r>
          </w:p>
        </w:tc>
        <w:tc>
          <w:tcPr>
            <w:tcW w:w="1984"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X-γ辐射剂量率</w:t>
            </w:r>
          </w:p>
        </w:tc>
        <w:tc>
          <w:tcPr>
            <w:tcW w:w="4870"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《工业X射线探伤放射防护要求》</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（GBZ 117-2015）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p>
        </w:tc>
        <w:tc>
          <w:tcPr>
            <w:tcW w:w="198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p>
        </w:tc>
        <w:tc>
          <w:tcPr>
            <w:tcW w:w="4870"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《放射诊断放射防护要求》</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（GBZ 130-2020）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5G通讯基站</w:t>
            </w:r>
          </w:p>
        </w:tc>
        <w:tc>
          <w:tcPr>
            <w:tcW w:w="198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功率密度</w:t>
            </w:r>
          </w:p>
        </w:tc>
        <w:tc>
          <w:tcPr>
            <w:tcW w:w="4870"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《5G 移动通信基站电磁辐射环境监测方法（试行）》（HJ 1151-2020）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环境本底值</w:t>
            </w:r>
          </w:p>
        </w:tc>
        <w:tc>
          <w:tcPr>
            <w:tcW w:w="198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γ辐射剂量率</w:t>
            </w:r>
          </w:p>
        </w:tc>
        <w:tc>
          <w:tcPr>
            <w:tcW w:w="4870"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《环境γ辐射剂量率测量技术规范》</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（HJ 1157-2021）</w:t>
            </w:r>
          </w:p>
        </w:tc>
      </w:tr>
    </w:tbl>
    <w:p>
      <w:pPr>
        <w:pStyle w:val="4"/>
        <w:ind w:left="0" w:leftChars="0" w:firstLine="0" w:firstLineChars="0"/>
        <w:rPr>
          <w:rFonts w:hint="default" w:ascii="Times New Roman" w:hAnsi="Times New Roman" w:cs="Times New Roman"/>
          <w:color w:val="auto"/>
          <w:sz w:val="24"/>
        </w:rPr>
      </w:pPr>
      <w:bookmarkStart w:id="19" w:name="_Toc10564"/>
      <w:r>
        <w:rPr>
          <w:rFonts w:hint="default" w:ascii="Times New Roman" w:hAnsi="Times New Roman" w:cs="Times New Roman"/>
          <w:color w:val="auto"/>
        </w:rPr>
        <w:t>2.2监测点位</w:t>
      </w:r>
      <w:bookmarkEnd w:id="19"/>
    </w:p>
    <w:p>
      <w:pPr>
        <w:pStyle w:val="5"/>
        <w:ind w:left="0" w:leftChars="0" w:firstLine="0" w:firstLineChars="0"/>
        <w:rPr>
          <w:rFonts w:hint="default" w:ascii="Times New Roman" w:hAnsi="Times New Roman" w:cs="Times New Roman"/>
          <w:color w:val="auto"/>
        </w:rPr>
      </w:pPr>
      <w:bookmarkStart w:id="20" w:name="_Toc27199"/>
      <w:bookmarkStart w:id="21" w:name="_Toc119252509"/>
      <w:bookmarkStart w:id="22" w:name="_Toc119252463"/>
      <w:bookmarkStart w:id="23" w:name="_Toc118884541"/>
      <w:r>
        <w:rPr>
          <w:rFonts w:hint="default" w:ascii="Times New Roman" w:hAnsi="Times New Roman" w:cs="Times New Roman"/>
          <w:color w:val="auto"/>
        </w:rPr>
        <w:t>2.1.1密封放射源</w:t>
      </w:r>
      <w:bookmarkEnd w:id="20"/>
      <w:bookmarkEnd w:id="21"/>
      <w:bookmarkEnd w:id="22"/>
      <w:bookmarkEnd w:id="23"/>
    </w:p>
    <w:p>
      <w:pPr>
        <w:ind w:firstLine="560"/>
        <w:rPr>
          <w:rFonts w:hint="default" w:ascii="Times New Roman" w:hAnsi="Times New Roman" w:cs="Times New Roman"/>
          <w:color w:val="auto"/>
        </w:rPr>
      </w:pPr>
      <w:r>
        <w:rPr>
          <w:rFonts w:hint="default" w:ascii="Times New Roman" w:hAnsi="Times New Roman" w:cs="Times New Roman"/>
          <w:color w:val="auto"/>
        </w:rPr>
        <w:t>本次监测依据《含密封源仪表的放射卫生防护要求》（GBZ 125-2009）进行布点，</w:t>
      </w:r>
      <w:r>
        <w:rPr>
          <w:rFonts w:hint="default" w:ascii="Times New Roman" w:hAnsi="Times New Roman" w:cs="Times New Roman"/>
          <w:color w:val="auto"/>
          <w:szCs w:val="28"/>
        </w:rPr>
        <w:t>监测点位为</w:t>
      </w:r>
      <w:r>
        <w:rPr>
          <w:rFonts w:hint="default" w:ascii="Times New Roman" w:hAnsi="Times New Roman" w:cs="Times New Roman"/>
          <w:color w:val="auto"/>
        </w:rPr>
        <w:t>源容器表面6个方向，每个方向5cm和100cm各测1个点。</w:t>
      </w:r>
    </w:p>
    <w:p>
      <w:pPr>
        <w:pStyle w:val="5"/>
        <w:ind w:left="0" w:leftChars="0" w:firstLine="0" w:firstLineChars="0"/>
        <w:rPr>
          <w:rFonts w:hint="default" w:ascii="Times New Roman" w:hAnsi="Times New Roman" w:cs="Times New Roman"/>
          <w:color w:val="auto"/>
        </w:rPr>
      </w:pPr>
      <w:bookmarkStart w:id="24" w:name="_Toc26007"/>
      <w:bookmarkStart w:id="25" w:name="_Toc119252510"/>
      <w:bookmarkStart w:id="26" w:name="_Toc118884542"/>
      <w:bookmarkStart w:id="27" w:name="_Toc119252464"/>
      <w:r>
        <w:rPr>
          <w:rFonts w:hint="default" w:ascii="Times New Roman" w:hAnsi="Times New Roman" w:cs="Times New Roman"/>
          <w:color w:val="auto"/>
        </w:rPr>
        <w:t>2.2.2工业探伤射线装置</w:t>
      </w:r>
      <w:bookmarkEnd w:id="24"/>
      <w:bookmarkEnd w:id="25"/>
      <w:bookmarkEnd w:id="26"/>
      <w:bookmarkEnd w:id="27"/>
    </w:p>
    <w:p>
      <w:pPr>
        <w:ind w:firstLine="560"/>
        <w:rPr>
          <w:rFonts w:hint="default" w:ascii="Times New Roman" w:hAnsi="Times New Roman" w:cs="Times New Roman"/>
          <w:color w:val="auto"/>
          <w:szCs w:val="28"/>
        </w:rPr>
      </w:pPr>
      <w:r>
        <w:rPr>
          <w:rFonts w:hint="default" w:ascii="Times New Roman" w:hAnsi="Times New Roman" w:cs="Times New Roman"/>
          <w:color w:val="auto"/>
        </w:rPr>
        <w:t>本次监测依据《工业X射线探伤放射防护要求》（GBZ 117-2015）进行布点，</w:t>
      </w:r>
      <w:r>
        <w:rPr>
          <w:rFonts w:hint="default" w:ascii="Times New Roman" w:hAnsi="Times New Roman" w:cs="Times New Roman"/>
          <w:color w:val="auto"/>
          <w:szCs w:val="28"/>
        </w:rPr>
        <w:t>监测点位为：</w:t>
      </w:r>
    </w:p>
    <w:p>
      <w:pPr>
        <w:ind w:firstLine="560"/>
        <w:rPr>
          <w:rFonts w:hint="default" w:ascii="Times New Roman" w:hAnsi="Times New Roman" w:cs="Times New Roman"/>
          <w:color w:val="auto"/>
        </w:rPr>
      </w:pPr>
      <w:r>
        <w:rPr>
          <w:rFonts w:hint="default" w:ascii="Times New Roman" w:hAnsi="Times New Roman" w:cs="Times New Roman"/>
          <w:color w:val="auto"/>
        </w:rPr>
        <w:t>（1）通过巡测，发现的辐射水平异常高的位置。</w:t>
      </w:r>
    </w:p>
    <w:p>
      <w:pPr>
        <w:ind w:firstLine="560"/>
        <w:rPr>
          <w:rFonts w:hint="default" w:ascii="Times New Roman" w:hAnsi="Times New Roman" w:cs="Times New Roman"/>
          <w:color w:val="auto"/>
        </w:rPr>
      </w:pPr>
      <w:r>
        <w:rPr>
          <w:rFonts w:hint="default" w:ascii="Times New Roman" w:hAnsi="Times New Roman" w:cs="Times New Roman"/>
          <w:color w:val="auto"/>
        </w:rPr>
        <w:t>（2）探伤室门外 30cm 离地面高度为 1m 处，门的左、中、右侧 3 个点和门缝四周。</w:t>
      </w:r>
    </w:p>
    <w:p>
      <w:pPr>
        <w:ind w:firstLine="560"/>
        <w:rPr>
          <w:rFonts w:hint="default" w:ascii="Times New Roman" w:hAnsi="Times New Roman" w:cs="Times New Roman"/>
          <w:color w:val="auto"/>
        </w:rPr>
      </w:pPr>
      <w:r>
        <w:rPr>
          <w:rFonts w:hint="default" w:ascii="Times New Roman" w:hAnsi="Times New Roman" w:cs="Times New Roman"/>
          <w:color w:val="auto"/>
        </w:rPr>
        <w:t>（3）探伤室墙外或邻室墙外 30cm 离地面高度为 1m 处，每个墙面至少测 3 个点。</w:t>
      </w:r>
    </w:p>
    <w:p>
      <w:pPr>
        <w:ind w:firstLine="560"/>
        <w:rPr>
          <w:rFonts w:hint="default" w:ascii="Times New Roman" w:hAnsi="Times New Roman" w:cs="Times New Roman"/>
          <w:color w:val="auto"/>
        </w:rPr>
      </w:pPr>
      <w:r>
        <w:rPr>
          <w:rFonts w:hint="default" w:ascii="Times New Roman" w:hAnsi="Times New Roman" w:cs="Times New Roman"/>
          <w:color w:val="auto"/>
        </w:rPr>
        <w:t>（4）人员可能到达的探伤室屋顶或探伤室上层外 30cm 处，至少包括主射束到达范围的 5 个检测点。</w:t>
      </w:r>
    </w:p>
    <w:p>
      <w:pPr>
        <w:ind w:firstLine="560"/>
        <w:rPr>
          <w:rFonts w:hint="default" w:ascii="Times New Roman" w:hAnsi="Times New Roman" w:cs="Times New Roman"/>
          <w:color w:val="auto"/>
        </w:rPr>
      </w:pPr>
      <w:r>
        <w:rPr>
          <w:rFonts w:hint="default" w:ascii="Times New Roman" w:hAnsi="Times New Roman" w:cs="Times New Roman"/>
          <w:color w:val="auto"/>
        </w:rPr>
        <w:t>（5）人员经常活动的位置。</w:t>
      </w:r>
    </w:p>
    <w:p>
      <w:pPr>
        <w:pStyle w:val="5"/>
        <w:ind w:left="0" w:leftChars="0" w:firstLine="0" w:firstLineChars="0"/>
        <w:rPr>
          <w:rFonts w:hint="default" w:ascii="Times New Roman" w:hAnsi="Times New Roman" w:cs="Times New Roman"/>
          <w:color w:val="auto"/>
        </w:rPr>
      </w:pPr>
      <w:bookmarkStart w:id="28" w:name="_Toc1318"/>
      <w:bookmarkStart w:id="29" w:name="_Toc118884543"/>
      <w:bookmarkStart w:id="30" w:name="_Toc119252465"/>
      <w:bookmarkStart w:id="31" w:name="_Toc119252511"/>
      <w:r>
        <w:rPr>
          <w:rFonts w:hint="default" w:ascii="Times New Roman" w:hAnsi="Times New Roman" w:cs="Times New Roman"/>
          <w:color w:val="auto"/>
        </w:rPr>
        <w:t>2.2.3医用射线装置</w:t>
      </w:r>
      <w:bookmarkEnd w:id="28"/>
      <w:bookmarkEnd w:id="29"/>
      <w:bookmarkEnd w:id="30"/>
      <w:bookmarkEnd w:id="31"/>
    </w:p>
    <w:p>
      <w:pPr>
        <w:ind w:firstLine="560"/>
        <w:rPr>
          <w:rFonts w:hint="default" w:ascii="Times New Roman" w:hAnsi="Times New Roman" w:cs="Times New Roman"/>
          <w:color w:val="auto"/>
          <w:szCs w:val="28"/>
        </w:rPr>
      </w:pPr>
      <w:r>
        <w:rPr>
          <w:rFonts w:hint="default" w:ascii="Times New Roman" w:hAnsi="Times New Roman" w:cs="Times New Roman"/>
          <w:color w:val="auto"/>
        </w:rPr>
        <w:t>本次监测依据《工业X射线探伤放射防护要求》（GBZ 117-2015）进行布点，</w:t>
      </w:r>
      <w:r>
        <w:rPr>
          <w:rFonts w:hint="default" w:ascii="Times New Roman" w:hAnsi="Times New Roman" w:cs="Times New Roman"/>
          <w:color w:val="auto"/>
          <w:szCs w:val="28"/>
        </w:rPr>
        <w:t>监测点位为：</w:t>
      </w:r>
    </w:p>
    <w:p>
      <w:pPr>
        <w:ind w:firstLine="560"/>
        <w:rPr>
          <w:rFonts w:hint="default" w:ascii="Times New Roman" w:hAnsi="Times New Roman" w:cs="Times New Roman"/>
          <w:color w:val="auto"/>
        </w:rPr>
      </w:pPr>
      <w:r>
        <w:rPr>
          <w:rFonts w:hint="default" w:ascii="Times New Roman" w:hAnsi="Times New Roman" w:cs="Times New Roman"/>
          <w:color w:val="auto"/>
        </w:rPr>
        <w:t>（1）距墙体、门、窗表面30 cm；顶棚上方（楼上）距顶棚地面100 cm，机房地面下方（楼下）距楼下地面170 cm。</w:t>
      </w:r>
    </w:p>
    <w:p>
      <w:pPr>
        <w:ind w:firstLine="560"/>
        <w:rPr>
          <w:rFonts w:hint="default" w:ascii="Times New Roman" w:hAnsi="Times New Roman" w:cs="Times New Roman"/>
          <w:color w:val="auto"/>
        </w:rPr>
      </w:pPr>
      <w:r>
        <w:rPr>
          <w:rFonts w:hint="default" w:ascii="Times New Roman" w:hAnsi="Times New Roman" w:cs="Times New Roman"/>
          <w:color w:val="auto"/>
        </w:rPr>
        <w:t>（2）带有自屏蔽的设备一般选取工作人员操作位、屏蔽体外5 cm处和100 cm处作为关注点。</w:t>
      </w:r>
    </w:p>
    <w:p>
      <w:pPr>
        <w:pStyle w:val="5"/>
        <w:ind w:left="0" w:leftChars="0" w:firstLine="0" w:firstLineChars="0"/>
        <w:rPr>
          <w:rFonts w:hint="default" w:ascii="Times New Roman" w:hAnsi="Times New Roman" w:cs="Times New Roman"/>
          <w:color w:val="auto"/>
        </w:rPr>
      </w:pPr>
      <w:bookmarkStart w:id="32" w:name="_Toc119252513"/>
      <w:bookmarkStart w:id="33" w:name="_Toc19555"/>
      <w:bookmarkStart w:id="34" w:name="_Toc119252467"/>
      <w:bookmarkStart w:id="35" w:name="_Toc118884544"/>
      <w:r>
        <w:rPr>
          <w:rFonts w:hint="default" w:ascii="Times New Roman" w:hAnsi="Times New Roman" w:cs="Times New Roman"/>
          <w:color w:val="auto"/>
        </w:rPr>
        <w:t>2.2.</w:t>
      </w:r>
      <w:r>
        <w:rPr>
          <w:rFonts w:hint="default" w:ascii="Times New Roman" w:hAnsi="Times New Roman" w:cs="Times New Roman"/>
          <w:color w:val="auto"/>
          <w:lang w:val="en-US" w:eastAsia="zh-CN"/>
        </w:rPr>
        <w:t>4</w:t>
      </w:r>
      <w:r>
        <w:rPr>
          <w:rFonts w:hint="default" w:ascii="Times New Roman" w:hAnsi="Times New Roman" w:cs="Times New Roman"/>
          <w:color w:val="auto"/>
        </w:rPr>
        <w:t>通讯基站</w:t>
      </w:r>
      <w:bookmarkEnd w:id="32"/>
      <w:bookmarkEnd w:id="33"/>
      <w:bookmarkEnd w:id="34"/>
      <w:bookmarkEnd w:id="35"/>
    </w:p>
    <w:p>
      <w:pPr>
        <w:ind w:firstLine="560"/>
        <w:rPr>
          <w:rFonts w:hint="default" w:ascii="Times New Roman" w:hAnsi="Times New Roman" w:cs="Times New Roman"/>
          <w:color w:val="auto"/>
          <w:szCs w:val="28"/>
        </w:rPr>
      </w:pPr>
      <w:r>
        <w:rPr>
          <w:rFonts w:hint="default" w:ascii="Times New Roman" w:hAnsi="Times New Roman" w:cs="Times New Roman"/>
          <w:color w:val="auto"/>
        </w:rPr>
        <w:t>本次监测依据《5G 移动通信基站电磁辐射环境监测方法（试行）》（HJ 1151-2020）进行布点，</w:t>
      </w:r>
      <w:r>
        <w:rPr>
          <w:rFonts w:hint="default" w:ascii="Times New Roman" w:hAnsi="Times New Roman" w:cs="Times New Roman"/>
          <w:color w:val="auto"/>
          <w:szCs w:val="28"/>
        </w:rPr>
        <w:t>监测点位为：</w:t>
      </w:r>
    </w:p>
    <w:p>
      <w:pPr>
        <w:ind w:firstLine="560"/>
        <w:rPr>
          <w:rFonts w:hint="default" w:ascii="Times New Roman" w:hAnsi="Times New Roman" w:cs="Times New Roman"/>
          <w:color w:val="auto"/>
        </w:rPr>
      </w:pPr>
      <w:r>
        <w:rPr>
          <w:rFonts w:hint="default" w:ascii="Times New Roman" w:hAnsi="Times New Roman" w:cs="Times New Roman"/>
          <w:color w:val="auto"/>
        </w:rPr>
        <w:t>（1）应布设在移动通信基站天线覆盖范围内的电磁辐射环境敏感目标处，并优先布设在公众居住、工作或学习距离天线最近处，但不宜布设在需借助工具（如梯子）或采取特殊方式（如攀爬）到达的位置。</w:t>
      </w:r>
    </w:p>
    <w:p>
      <w:pPr>
        <w:ind w:firstLine="560"/>
        <w:rPr>
          <w:rFonts w:hint="default" w:ascii="Times New Roman" w:hAnsi="Times New Roman" w:cs="Times New Roman"/>
          <w:color w:val="auto"/>
        </w:rPr>
      </w:pPr>
      <w:r>
        <w:rPr>
          <w:rFonts w:hint="default" w:ascii="Times New Roman" w:hAnsi="Times New Roman" w:cs="Times New Roman"/>
          <w:color w:val="auto"/>
        </w:rPr>
        <w:t>（2）建筑物内监测时，监测点位可布设在朝向基站天线的窗口（阳台）位置，监测仪器探头（天线）尖端应在窗框（阳台）界面以内，也可布设室内其它位置。监测仪器探头（天线）与家用电器等设备之间距离不少于 1m。</w:t>
      </w:r>
    </w:p>
    <w:p>
      <w:pPr>
        <w:ind w:firstLine="560"/>
        <w:rPr>
          <w:rFonts w:hint="default" w:ascii="Times New Roman" w:hAnsi="Times New Roman" w:cs="Times New Roman"/>
          <w:color w:val="auto"/>
        </w:rPr>
        <w:sectPr>
          <w:pgSz w:w="11906" w:h="16838"/>
          <w:pgMar w:top="1440" w:right="1800" w:bottom="1440" w:left="1800" w:header="851" w:footer="992" w:gutter="0"/>
          <w:cols w:space="425" w:num="1"/>
          <w:docGrid w:type="lines" w:linePitch="312" w:charSpace="0"/>
        </w:sectPr>
      </w:pPr>
    </w:p>
    <w:p>
      <w:pPr>
        <w:pStyle w:val="3"/>
        <w:ind w:left="0" w:leftChars="0" w:firstLine="0" w:firstLineChars="0"/>
        <w:rPr>
          <w:rFonts w:hint="default" w:ascii="Times New Roman" w:hAnsi="Times New Roman" w:cs="Times New Roman"/>
          <w:color w:val="auto"/>
        </w:rPr>
      </w:pPr>
      <w:bookmarkStart w:id="36" w:name="_Toc13532"/>
      <w:r>
        <w:rPr>
          <w:rFonts w:hint="default" w:ascii="Times New Roman" w:hAnsi="Times New Roman" w:cs="Times New Roman"/>
          <w:color w:val="auto"/>
        </w:rPr>
        <w:t>3 监测仪器</w:t>
      </w:r>
      <w:bookmarkEnd w:id="36"/>
    </w:p>
    <w:p>
      <w:pPr>
        <w:ind w:firstLine="560"/>
        <w:rPr>
          <w:rFonts w:hint="default" w:ascii="Times New Roman" w:hAnsi="Times New Roman" w:cs="Times New Roman"/>
          <w:color w:val="auto"/>
        </w:rPr>
      </w:pPr>
      <w:r>
        <w:rPr>
          <w:rFonts w:hint="default" w:ascii="Times New Roman" w:hAnsi="Times New Roman" w:cs="Times New Roman"/>
          <w:color w:val="auto"/>
        </w:rPr>
        <w:t>本项目采用的监测仪器均经过计量部门检定或校准，详见表3-1。</w:t>
      </w:r>
    </w:p>
    <w:p>
      <w:pPr>
        <w:ind w:firstLine="0" w:firstLineChars="0"/>
        <w:jc w:val="center"/>
        <w:rPr>
          <w:rFonts w:hint="default" w:ascii="Times New Roman" w:hAnsi="Times New Roman" w:eastAsia="黑体" w:cs="Times New Roman"/>
          <w:color w:val="auto"/>
          <w:sz w:val="24"/>
        </w:rPr>
      </w:pPr>
      <w:r>
        <w:rPr>
          <w:rFonts w:hint="default" w:ascii="Times New Roman" w:hAnsi="Times New Roman" w:eastAsia="黑体" w:cs="Times New Roman"/>
          <w:color w:val="auto"/>
          <w:sz w:val="24"/>
        </w:rPr>
        <w:t>表3-1  本项目监测仪器</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5"/>
        <w:gridCol w:w="1559"/>
        <w:gridCol w:w="2410"/>
        <w:gridCol w:w="23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bCs/>
                <w:color w:val="auto"/>
                <w:sz w:val="24"/>
              </w:rPr>
            </w:pPr>
            <w:r>
              <w:rPr>
                <w:rFonts w:hint="default" w:ascii="Times New Roman" w:hAnsi="Times New Roman" w:cs="Times New Roman"/>
                <w:b/>
                <w:bCs/>
                <w:color w:val="auto"/>
                <w:sz w:val="24"/>
              </w:rPr>
              <w:t>仪器名称</w:t>
            </w:r>
          </w:p>
        </w:tc>
        <w:tc>
          <w:tcPr>
            <w:tcW w:w="1559"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bCs/>
                <w:color w:val="auto"/>
                <w:sz w:val="24"/>
              </w:rPr>
            </w:pPr>
            <w:r>
              <w:rPr>
                <w:rFonts w:hint="default" w:ascii="Times New Roman" w:hAnsi="Times New Roman" w:cs="Times New Roman"/>
                <w:b/>
                <w:bCs/>
                <w:color w:val="auto"/>
                <w:sz w:val="24"/>
              </w:rPr>
              <w:t>型号</w:t>
            </w:r>
          </w:p>
        </w:tc>
        <w:tc>
          <w:tcPr>
            <w:tcW w:w="2410"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bCs/>
                <w:color w:val="auto"/>
                <w:sz w:val="24"/>
              </w:rPr>
            </w:pPr>
            <w:r>
              <w:rPr>
                <w:rFonts w:hint="default" w:ascii="Times New Roman" w:hAnsi="Times New Roman" w:cs="Times New Roman"/>
                <w:b/>
                <w:bCs/>
                <w:color w:val="auto"/>
                <w:sz w:val="24"/>
              </w:rPr>
              <w:t>量程</w:t>
            </w:r>
          </w:p>
        </w:tc>
        <w:tc>
          <w:tcPr>
            <w:tcW w:w="2318"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bCs/>
                <w:color w:val="auto"/>
                <w:sz w:val="24"/>
              </w:rPr>
            </w:pPr>
            <w:r>
              <w:rPr>
                <w:rFonts w:hint="default" w:ascii="Times New Roman" w:hAnsi="Times New Roman" w:cs="Times New Roman"/>
                <w:b/>
                <w:bCs/>
                <w:color w:val="auto"/>
                <w:sz w:val="24"/>
              </w:rPr>
              <w:t>检定/校准有效期至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X-γ辐射剂量率仪</w:t>
            </w:r>
          </w:p>
        </w:tc>
        <w:tc>
          <w:tcPr>
            <w:tcW w:w="1559"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6150 AD b/H</w:t>
            </w:r>
          </w:p>
        </w:tc>
        <w:tc>
          <w:tcPr>
            <w:tcW w:w="2410"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5nSv/h~99.9μSv/h</w:t>
            </w:r>
          </w:p>
        </w:tc>
        <w:tc>
          <w:tcPr>
            <w:tcW w:w="2318"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2023年7月19日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X-γ辐射剂量率仪</w:t>
            </w:r>
          </w:p>
        </w:tc>
        <w:tc>
          <w:tcPr>
            <w:tcW w:w="1559"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RS1123</w:t>
            </w:r>
          </w:p>
        </w:tc>
        <w:tc>
          <w:tcPr>
            <w:tcW w:w="2410"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50 nSv/h~10 Sv/h</w:t>
            </w:r>
          </w:p>
        </w:tc>
        <w:tc>
          <w:tcPr>
            <w:tcW w:w="2318"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2023年7月17日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选频式电磁辐射</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监测仪</w:t>
            </w:r>
          </w:p>
        </w:tc>
        <w:tc>
          <w:tcPr>
            <w:tcW w:w="1559"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主机BC100SE；三轴向天线EP6004</w:t>
            </w:r>
          </w:p>
        </w:tc>
        <w:tc>
          <w:tcPr>
            <w:tcW w:w="2410"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2.65×10</w:t>
            </w:r>
            <w:r>
              <w:rPr>
                <w:rFonts w:hint="default" w:ascii="Times New Roman" w:hAnsi="Times New Roman" w:cs="Times New Roman"/>
                <w:color w:val="auto"/>
                <w:sz w:val="24"/>
                <w:vertAlign w:val="superscript"/>
              </w:rPr>
              <w:t>-9</w:t>
            </w:r>
            <w:r>
              <w:rPr>
                <w:rFonts w:hint="default" w:ascii="Times New Roman" w:hAnsi="Times New Roman" w:cs="Times New Roman"/>
                <w:color w:val="auto"/>
                <w:sz w:val="24"/>
              </w:rPr>
              <w:t>W/m</w:t>
            </w:r>
            <w:r>
              <w:rPr>
                <w:rFonts w:hint="default" w:ascii="Times New Roman" w:hAnsi="Times New Roman" w:cs="Times New Roman"/>
                <w:color w:val="auto"/>
                <w:sz w:val="24"/>
                <w:vertAlign w:val="superscript"/>
              </w:rPr>
              <w:t>2</w:t>
            </w:r>
            <w:r>
              <w:rPr>
                <w:rFonts w:hint="default" w:ascii="Times New Roman" w:hAnsi="Times New Roman" w:cs="Times New Roman"/>
                <w:color w:val="auto"/>
                <w:sz w:val="24"/>
              </w:rPr>
              <w:t>（1mV/m）</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~238.73W/m</w:t>
            </w:r>
            <w:r>
              <w:rPr>
                <w:rFonts w:hint="default" w:ascii="Times New Roman" w:hAnsi="Times New Roman" w:cs="Times New Roman"/>
                <w:color w:val="auto"/>
                <w:sz w:val="24"/>
                <w:vertAlign w:val="superscript"/>
              </w:rPr>
              <w:t>2</w:t>
            </w:r>
            <w:r>
              <w:rPr>
                <w:rFonts w:hint="default" w:ascii="Times New Roman" w:hAnsi="Times New Roman" w:cs="Times New Roman"/>
                <w:color w:val="auto"/>
                <w:sz w:val="24"/>
              </w:rPr>
              <w:t>（300V/m）</w:t>
            </w:r>
          </w:p>
        </w:tc>
        <w:tc>
          <w:tcPr>
            <w:tcW w:w="2318"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2023年8月28日</w:t>
            </w:r>
          </w:p>
        </w:tc>
      </w:tr>
    </w:tbl>
    <w:p>
      <w:pPr>
        <w:ind w:firstLine="560"/>
        <w:rPr>
          <w:rFonts w:hint="default" w:ascii="Times New Roman" w:hAnsi="Times New Roman" w:cs="Times New Roman"/>
          <w:color w:val="auto"/>
        </w:rPr>
        <w:sectPr>
          <w:pgSz w:w="11906" w:h="16838"/>
          <w:pgMar w:top="1440" w:right="1800" w:bottom="1440" w:left="1800" w:header="851" w:footer="992" w:gutter="0"/>
          <w:cols w:space="425" w:num="1"/>
          <w:docGrid w:type="lines" w:linePitch="312" w:charSpace="0"/>
        </w:sectPr>
      </w:pPr>
    </w:p>
    <w:p>
      <w:pPr>
        <w:pStyle w:val="3"/>
        <w:ind w:left="0" w:leftChars="0" w:firstLine="0" w:firstLineChars="0"/>
        <w:rPr>
          <w:rFonts w:hint="default" w:ascii="Times New Roman" w:hAnsi="Times New Roman" w:cs="Times New Roman"/>
          <w:color w:val="auto"/>
        </w:rPr>
      </w:pPr>
      <w:bookmarkStart w:id="37" w:name="_Toc28949"/>
      <w:r>
        <w:rPr>
          <w:rFonts w:hint="default" w:ascii="Times New Roman" w:hAnsi="Times New Roman" w:cs="Times New Roman"/>
          <w:color w:val="auto"/>
        </w:rPr>
        <w:t>4 质量控制</w:t>
      </w:r>
      <w:bookmarkEnd w:id="37"/>
    </w:p>
    <w:p>
      <w:pPr>
        <w:ind w:firstLine="560"/>
        <w:rPr>
          <w:rFonts w:hint="default" w:ascii="Times New Roman" w:hAnsi="Times New Roman" w:cs="Times New Roman"/>
          <w:color w:val="auto"/>
        </w:rPr>
      </w:pPr>
      <w:r>
        <w:rPr>
          <w:rFonts w:hint="default" w:ascii="Times New Roman" w:hAnsi="Times New Roman" w:cs="Times New Roman"/>
          <w:color w:val="auto"/>
        </w:rPr>
        <w:t>（1）监测机构通过了计量部门的CMA资质认定，且在有效期内；检测能力范围包括本项目的所有检测因子。</w:t>
      </w:r>
    </w:p>
    <w:p>
      <w:pPr>
        <w:ind w:firstLine="560"/>
        <w:rPr>
          <w:rFonts w:hint="default" w:ascii="Times New Roman" w:hAnsi="Times New Roman" w:cs="Times New Roman"/>
          <w:color w:val="auto"/>
        </w:rPr>
      </w:pPr>
      <w:r>
        <w:rPr>
          <w:rFonts w:hint="default" w:ascii="Times New Roman" w:hAnsi="Times New Roman" w:cs="Times New Roman"/>
          <w:color w:val="auto"/>
        </w:rPr>
        <w:t>（2）监测人员均参加了相关项目的技术培训，并通过了考核，取得了上岗证书。同时也取得了环保部门颁发的辐射安全与防护知识培训考核证书。</w:t>
      </w:r>
    </w:p>
    <w:p>
      <w:pPr>
        <w:ind w:firstLine="560"/>
        <w:rPr>
          <w:rFonts w:hint="default" w:ascii="Times New Roman" w:hAnsi="Times New Roman" w:cs="Times New Roman"/>
          <w:color w:val="auto"/>
        </w:rPr>
      </w:pPr>
      <w:r>
        <w:rPr>
          <w:rFonts w:hint="default" w:ascii="Times New Roman" w:hAnsi="Times New Roman" w:cs="Times New Roman"/>
          <w:color w:val="auto"/>
        </w:rPr>
        <w:t>（3）本项目所使用的监测方法均为国家标准或行业标准，同时也是国家生态环境部《2022 年全国辐射环境监测质量保证方案》中推荐的监测方法。</w:t>
      </w:r>
    </w:p>
    <w:p>
      <w:pPr>
        <w:ind w:firstLine="560"/>
        <w:rPr>
          <w:rFonts w:hint="default" w:ascii="Times New Roman" w:hAnsi="Times New Roman" w:cs="Times New Roman"/>
          <w:color w:val="auto"/>
        </w:rPr>
      </w:pPr>
      <w:r>
        <w:rPr>
          <w:rFonts w:hint="default" w:ascii="Times New Roman" w:hAnsi="Times New Roman" w:cs="Times New Roman"/>
          <w:color w:val="auto"/>
        </w:rPr>
        <w:t>（4）监测所用仪器均经过计量部门校准、检定合格，且在有效使用期内。每次测量前、后均检查仪器的工作状态是否正常。</w:t>
      </w:r>
    </w:p>
    <w:p>
      <w:pPr>
        <w:ind w:firstLine="560"/>
        <w:rPr>
          <w:rFonts w:hint="default" w:ascii="Times New Roman" w:hAnsi="Times New Roman" w:cs="Times New Roman"/>
          <w:color w:val="auto"/>
        </w:rPr>
      </w:pPr>
      <w:r>
        <w:rPr>
          <w:rFonts w:hint="default" w:ascii="Times New Roman" w:hAnsi="Times New Roman" w:cs="Times New Roman"/>
          <w:color w:val="auto"/>
        </w:rPr>
        <w:t>（5）监测前制定了详细的监测方案，监测过程严格按照《作业指导书》和仪器操作规程执行。合理布设监测点位，保证各监测点位布设的科学性和可比性。</w:t>
      </w:r>
    </w:p>
    <w:p>
      <w:pPr>
        <w:ind w:firstLine="560"/>
        <w:rPr>
          <w:rFonts w:hint="default" w:ascii="Times New Roman" w:hAnsi="Times New Roman" w:cs="Times New Roman"/>
          <w:color w:val="auto"/>
        </w:rPr>
      </w:pPr>
      <w:r>
        <w:rPr>
          <w:rFonts w:hint="default" w:ascii="Times New Roman" w:hAnsi="Times New Roman" w:cs="Times New Roman"/>
          <w:color w:val="auto"/>
        </w:rPr>
        <w:t>（6）监测报告严格实行三级审核制度，经过编制、审核和签发。</w:t>
      </w:r>
    </w:p>
    <w:p>
      <w:pPr>
        <w:ind w:firstLine="560"/>
        <w:rPr>
          <w:rFonts w:hint="default" w:ascii="Times New Roman" w:hAnsi="Times New Roman" w:cs="Times New Roman"/>
          <w:color w:val="auto"/>
        </w:rPr>
        <w:sectPr>
          <w:pgSz w:w="11906" w:h="16838"/>
          <w:pgMar w:top="1440" w:right="1800" w:bottom="1440" w:left="1800" w:header="851" w:footer="992" w:gutter="0"/>
          <w:cols w:space="425" w:num="1"/>
          <w:docGrid w:type="lines" w:linePitch="312" w:charSpace="0"/>
        </w:sectPr>
      </w:pPr>
      <w:r>
        <w:rPr>
          <w:rFonts w:hint="default" w:ascii="Times New Roman" w:hAnsi="Times New Roman" w:cs="Times New Roman"/>
          <w:color w:val="auto"/>
        </w:rPr>
        <w:t>（7）建立完整的文件资料。监测方案、测量原始数据、监测布点图、统计处理程序、监测报告等全部保留，以备复查。</w:t>
      </w:r>
    </w:p>
    <w:p>
      <w:pPr>
        <w:pStyle w:val="3"/>
        <w:ind w:left="0" w:leftChars="0" w:firstLine="0" w:firstLineChars="0"/>
        <w:rPr>
          <w:rFonts w:hint="default" w:ascii="Times New Roman" w:hAnsi="Times New Roman" w:cs="Times New Roman"/>
          <w:color w:val="auto"/>
        </w:rPr>
      </w:pPr>
      <w:bookmarkStart w:id="38" w:name="_Toc2796"/>
      <w:r>
        <w:rPr>
          <w:rFonts w:hint="default" w:ascii="Times New Roman" w:hAnsi="Times New Roman" w:cs="Times New Roman"/>
          <w:color w:val="auto"/>
        </w:rPr>
        <w:t>5 评价标准</w:t>
      </w:r>
      <w:bookmarkEnd w:id="38"/>
    </w:p>
    <w:p>
      <w:pPr>
        <w:pStyle w:val="4"/>
        <w:ind w:left="0" w:leftChars="0" w:firstLine="0" w:firstLineChars="0"/>
        <w:rPr>
          <w:rFonts w:hint="default" w:ascii="Times New Roman" w:hAnsi="Times New Roman" w:cs="Times New Roman"/>
          <w:color w:val="auto"/>
        </w:rPr>
      </w:pPr>
      <w:bookmarkStart w:id="39" w:name="_Toc916"/>
      <w:r>
        <w:rPr>
          <w:rFonts w:hint="default" w:ascii="Times New Roman" w:hAnsi="Times New Roman" w:cs="Times New Roman"/>
          <w:color w:val="auto"/>
        </w:rPr>
        <w:t>5.1密封放射源</w:t>
      </w:r>
      <w:bookmarkEnd w:id="39"/>
    </w:p>
    <w:p>
      <w:pPr>
        <w:ind w:firstLine="560"/>
        <w:rPr>
          <w:rFonts w:hint="default" w:ascii="Times New Roman" w:hAnsi="Times New Roman" w:cs="Times New Roman"/>
          <w:color w:val="auto"/>
        </w:rPr>
      </w:pPr>
      <w:r>
        <w:rPr>
          <w:rFonts w:hint="default" w:ascii="Times New Roman" w:hAnsi="Times New Roman" w:cs="Times New Roman"/>
          <w:color w:val="auto"/>
        </w:rPr>
        <w:t>《含密封源仪表的放射卫生防护要求》（GBZ 125-2009）的规定详见表5-1。</w:t>
      </w:r>
    </w:p>
    <w:p>
      <w:pPr>
        <w:ind w:firstLine="0" w:firstLineChars="0"/>
        <w:jc w:val="center"/>
        <w:rPr>
          <w:rFonts w:hint="default" w:ascii="Times New Roman" w:hAnsi="Times New Roman" w:eastAsia="黑体" w:cs="Times New Roman"/>
          <w:color w:val="auto"/>
          <w:sz w:val="24"/>
        </w:rPr>
      </w:pPr>
      <w:r>
        <w:rPr>
          <w:rFonts w:hint="default" w:ascii="Times New Roman" w:hAnsi="Times New Roman" w:eastAsia="黑体" w:cs="Times New Roman"/>
          <w:color w:val="auto"/>
          <w:sz w:val="24"/>
        </w:rPr>
        <w:t>表5-1  不同使用场所对检测仪表外围辐射的剂量控制要求</w:t>
      </w:r>
    </w:p>
    <w:tbl>
      <w:tblPr>
        <w:tblStyle w:val="13"/>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62"/>
        <w:gridCol w:w="1843"/>
        <w:gridCol w:w="1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2" w:type="dxa"/>
            <w:vMerge w:val="restart"/>
            <w:vAlign w:val="center"/>
          </w:tcPr>
          <w:p>
            <w:pPr>
              <w:spacing w:line="240" w:lineRule="auto"/>
              <w:ind w:firstLine="0" w:firstLineChars="0"/>
              <w:jc w:val="center"/>
              <w:rPr>
                <w:rFonts w:hint="default" w:ascii="Times New Roman" w:hAnsi="Times New Roman" w:cs="Times New Roman"/>
                <w:b/>
                <w:color w:val="auto"/>
                <w:sz w:val="24"/>
              </w:rPr>
            </w:pPr>
            <w:r>
              <w:rPr>
                <w:rFonts w:hint="default" w:ascii="Times New Roman" w:hAnsi="Times New Roman" w:cs="Times New Roman"/>
                <w:b/>
                <w:color w:val="auto"/>
                <w:sz w:val="24"/>
              </w:rPr>
              <w:t>检测仪表使用场所</w:t>
            </w:r>
          </w:p>
        </w:tc>
        <w:tc>
          <w:tcPr>
            <w:tcW w:w="3736" w:type="dxa"/>
            <w:gridSpan w:val="2"/>
            <w:vAlign w:val="center"/>
          </w:tcPr>
          <w:p>
            <w:pPr>
              <w:spacing w:line="240" w:lineRule="auto"/>
              <w:ind w:firstLine="0" w:firstLineChars="0"/>
              <w:jc w:val="center"/>
              <w:rPr>
                <w:rFonts w:hint="default" w:ascii="Times New Roman" w:hAnsi="Times New Roman" w:cs="Times New Roman"/>
                <w:b/>
                <w:color w:val="auto"/>
                <w:sz w:val="24"/>
              </w:rPr>
            </w:pPr>
            <w:r>
              <w:rPr>
                <w:rFonts w:hint="default" w:ascii="Times New Roman" w:hAnsi="Times New Roman" w:cs="Times New Roman"/>
                <w:b/>
                <w:color w:val="auto"/>
                <w:sz w:val="24"/>
              </w:rPr>
              <w:t>下列不同距离</w:t>
            </w:r>
            <w:r>
              <w:rPr>
                <w:rFonts w:hint="default" w:ascii="Times New Roman" w:hAnsi="Times New Roman" w:cs="Times New Roman"/>
                <w:b/>
                <w:color w:val="auto"/>
                <w:sz w:val="24"/>
                <w:vertAlign w:val="superscript"/>
              </w:rPr>
              <w:t>2）</w:t>
            </w:r>
            <w:r>
              <w:rPr>
                <w:rFonts w:hint="default" w:ascii="Times New Roman" w:hAnsi="Times New Roman" w:cs="Times New Roman"/>
                <w:b/>
                <w:color w:val="auto"/>
                <w:sz w:val="24"/>
              </w:rPr>
              <w:t>的周围剂量</w:t>
            </w:r>
          </w:p>
          <w:p>
            <w:pPr>
              <w:spacing w:line="240" w:lineRule="auto"/>
              <w:ind w:firstLine="0" w:firstLineChars="0"/>
              <w:jc w:val="center"/>
              <w:rPr>
                <w:rFonts w:hint="default" w:ascii="Times New Roman" w:hAnsi="Times New Roman" w:cs="Times New Roman"/>
                <w:b/>
                <w:color w:val="auto"/>
                <w:sz w:val="24"/>
              </w:rPr>
            </w:pPr>
            <w:r>
              <w:rPr>
                <w:rFonts w:hint="default" w:ascii="Times New Roman" w:hAnsi="Times New Roman" w:cs="Times New Roman"/>
                <w:b/>
                <w:color w:val="auto"/>
                <w:sz w:val="24"/>
              </w:rPr>
              <w:t>当量率</w:t>
            </w:r>
            <m:oMath>
              <m:acc>
                <m:accPr>
                  <m:chr m:val="̇"/>
                  <m:ctrlPr>
                    <w:rPr>
                      <w:rFonts w:hint="default" w:ascii="Cambria Math" w:hAnsi="Cambria Math" w:cs="Times New Roman"/>
                      <w:b/>
                      <w:color w:val="auto"/>
                      <w:sz w:val="24"/>
                    </w:rPr>
                  </m:ctrlPr>
                </m:accPr>
                <m:e>
                  <m:sSup>
                    <m:sSupPr>
                      <m:ctrlPr>
                        <w:rPr>
                          <w:rFonts w:hint="default" w:ascii="Cambria Math" w:hAnsi="Cambria Math" w:cs="Times New Roman"/>
                          <w:b/>
                          <w:i/>
                          <w:color w:val="auto"/>
                          <w:sz w:val="24"/>
                        </w:rPr>
                      </m:ctrlPr>
                    </m:sSupPr>
                    <m:e>
                      <m:r>
                        <m:rPr>
                          <m:sty m:val="bi"/>
                        </m:rPr>
                        <w:rPr>
                          <w:rFonts w:hint="default" w:ascii="Cambria Math" w:hAnsi="Cambria Math" w:cs="Times New Roman"/>
                          <w:color w:val="auto"/>
                          <w:sz w:val="24"/>
                        </w:rPr>
                        <m:t>H</m:t>
                      </m:r>
                      <m:ctrlPr>
                        <w:rPr>
                          <w:rFonts w:hint="default" w:ascii="Cambria Math" w:hAnsi="Cambria Math" w:cs="Times New Roman"/>
                          <w:b/>
                          <w:i/>
                          <w:color w:val="auto"/>
                          <w:sz w:val="24"/>
                        </w:rPr>
                      </m:ctrlPr>
                    </m:e>
                    <m:sup>
                      <m:r>
                        <m:rPr>
                          <m:sty m:val="bi"/>
                        </m:rPr>
                        <w:rPr>
                          <w:rFonts w:hint="default" w:ascii="Cambria Math" w:hAnsi="Cambria Math" w:cs="Times New Roman"/>
                          <w:color w:val="auto"/>
                          <w:sz w:val="24"/>
                        </w:rPr>
                        <m:t>∗</m:t>
                      </m:r>
                      <m:ctrlPr>
                        <w:rPr>
                          <w:rFonts w:hint="default" w:ascii="Cambria Math" w:hAnsi="Cambria Math" w:cs="Times New Roman"/>
                          <w:b/>
                          <w:i/>
                          <w:color w:val="auto"/>
                          <w:sz w:val="24"/>
                        </w:rPr>
                      </m:ctrlPr>
                    </m:sup>
                  </m:sSup>
                  <m:ctrlPr>
                    <w:rPr>
                      <w:rFonts w:hint="default" w:ascii="Cambria Math" w:hAnsi="Cambria Math" w:cs="Times New Roman"/>
                      <w:b/>
                      <w:color w:val="auto"/>
                      <w:sz w:val="24"/>
                    </w:rPr>
                  </m:ctrlPr>
                </m:e>
              </m:acc>
            </m:oMath>
            <w:r>
              <w:rPr>
                <w:rFonts w:hint="default" w:ascii="Times New Roman" w:hAnsi="Times New Roman" w:cs="Times New Roman"/>
                <w:b/>
                <w:color w:val="auto"/>
                <w:sz w:val="24"/>
              </w:rPr>
              <w:t>控制值，μSv/h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2" w:type="dxa"/>
            <w:vMerge w:val="continue"/>
            <w:vAlign w:val="center"/>
          </w:tcPr>
          <w:p>
            <w:pPr>
              <w:spacing w:line="240" w:lineRule="auto"/>
              <w:ind w:firstLine="0" w:firstLineChars="0"/>
              <w:jc w:val="center"/>
              <w:rPr>
                <w:rFonts w:hint="default" w:ascii="Times New Roman" w:hAnsi="Times New Roman" w:cs="Times New Roman"/>
                <w:b/>
                <w:color w:val="auto"/>
                <w:sz w:val="24"/>
              </w:rPr>
            </w:pPr>
          </w:p>
        </w:tc>
        <w:tc>
          <w:tcPr>
            <w:tcW w:w="1843" w:type="dxa"/>
            <w:vAlign w:val="center"/>
          </w:tcPr>
          <w:p>
            <w:pPr>
              <w:spacing w:line="240" w:lineRule="auto"/>
              <w:ind w:firstLine="0" w:firstLineChars="0"/>
              <w:jc w:val="center"/>
              <w:rPr>
                <w:rFonts w:hint="default" w:ascii="Times New Roman" w:hAnsi="Times New Roman" w:cs="Times New Roman"/>
                <w:b/>
                <w:color w:val="auto"/>
                <w:sz w:val="24"/>
              </w:rPr>
            </w:pPr>
            <w:r>
              <w:rPr>
                <w:rFonts w:hint="default" w:ascii="Times New Roman" w:hAnsi="Times New Roman" w:cs="Times New Roman"/>
                <w:b/>
                <w:color w:val="auto"/>
                <w:sz w:val="24"/>
              </w:rPr>
              <w:t>5cm</w:t>
            </w:r>
          </w:p>
        </w:tc>
        <w:tc>
          <w:tcPr>
            <w:tcW w:w="1893" w:type="dxa"/>
            <w:vAlign w:val="center"/>
          </w:tcPr>
          <w:p>
            <w:pPr>
              <w:spacing w:line="240" w:lineRule="auto"/>
              <w:ind w:firstLine="0" w:firstLineChars="0"/>
              <w:jc w:val="center"/>
              <w:rPr>
                <w:rFonts w:hint="default" w:ascii="Times New Roman" w:hAnsi="Times New Roman" w:cs="Times New Roman"/>
                <w:b/>
                <w:color w:val="auto"/>
                <w:sz w:val="24"/>
              </w:rPr>
            </w:pPr>
            <w:r>
              <w:rPr>
                <w:rFonts w:hint="default" w:ascii="Times New Roman" w:hAnsi="Times New Roman" w:cs="Times New Roman"/>
                <w:b/>
                <w:color w:val="auto"/>
                <w:sz w:val="24"/>
              </w:rPr>
              <w:t>100cm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2" w:type="dxa"/>
            <w:vAlign w:val="center"/>
          </w:tcPr>
          <w:p>
            <w:pPr>
              <w:spacing w:line="240" w:lineRule="auto"/>
              <w:ind w:firstLine="0" w:firstLineChars="0"/>
              <w:jc w:val="center"/>
              <w:rPr>
                <w:rFonts w:hint="default" w:ascii="Times New Roman" w:hAnsi="Times New Roman" w:cs="Times New Roman"/>
                <w:color w:val="auto"/>
                <w:sz w:val="24"/>
              </w:rPr>
            </w:pPr>
            <w:r>
              <w:rPr>
                <w:rFonts w:hint="default" w:ascii="Times New Roman" w:hAnsi="Times New Roman" w:cs="Times New Roman"/>
                <w:color w:val="auto"/>
                <w:sz w:val="24"/>
              </w:rPr>
              <w:t>对人员的活动范围不限制</w:t>
            </w:r>
          </w:p>
        </w:tc>
        <w:tc>
          <w:tcPr>
            <w:tcW w:w="1843" w:type="dxa"/>
            <w:vAlign w:val="center"/>
          </w:tcPr>
          <w:p>
            <w:pPr>
              <w:spacing w:line="240" w:lineRule="auto"/>
              <w:ind w:firstLine="0" w:firstLineChars="0"/>
              <w:jc w:val="center"/>
              <w:rPr>
                <w:rFonts w:hint="default" w:ascii="Times New Roman" w:hAnsi="Times New Roman" w:cs="Times New Roman"/>
                <w:color w:val="auto"/>
                <w:sz w:val="24"/>
              </w:rPr>
            </w:pPr>
            <m:oMath>
              <m:acc>
                <m:accPr>
                  <m:chr m:val="̇"/>
                  <m:ctrlPr>
                    <w:rPr>
                      <w:rFonts w:hint="default" w:ascii="Cambria Math" w:hAnsi="Cambria Math" w:cs="Times New Roman"/>
                      <w:color w:val="auto"/>
                      <w:sz w:val="24"/>
                    </w:rPr>
                  </m:ctrlPr>
                </m:accPr>
                <m:e>
                  <m:sSup>
                    <m:sSupPr>
                      <m:ctrlPr>
                        <w:rPr>
                          <w:rFonts w:hint="default" w:ascii="Cambria Math" w:hAnsi="Cambria Math" w:cs="Times New Roman"/>
                          <w:i/>
                          <w:color w:val="auto"/>
                          <w:sz w:val="24"/>
                        </w:rPr>
                      </m:ctrlPr>
                    </m:sSupPr>
                    <m:e>
                      <m:r>
                        <m:rPr/>
                        <w:rPr>
                          <w:rFonts w:hint="default" w:ascii="Cambria Math" w:hAnsi="Cambria Math" w:cs="Times New Roman"/>
                          <w:color w:val="auto"/>
                          <w:sz w:val="24"/>
                        </w:rPr>
                        <m:t>H</m:t>
                      </m:r>
                      <m:ctrlPr>
                        <w:rPr>
                          <w:rFonts w:hint="default" w:ascii="Cambria Math" w:hAnsi="Cambria Math" w:cs="Times New Roman"/>
                          <w:i/>
                          <w:color w:val="auto"/>
                          <w:sz w:val="24"/>
                        </w:rPr>
                      </m:ctrlPr>
                    </m:e>
                    <m:sup>
                      <m:r>
                        <m:rPr/>
                        <w:rPr>
                          <w:rFonts w:hint="default" w:ascii="Cambria Math" w:hAnsi="Cambria Math" w:cs="Times New Roman"/>
                          <w:color w:val="auto"/>
                          <w:sz w:val="24"/>
                        </w:rPr>
                        <m:t>∗</m:t>
                      </m:r>
                      <m:ctrlPr>
                        <w:rPr>
                          <w:rFonts w:hint="default" w:ascii="Cambria Math" w:hAnsi="Cambria Math" w:cs="Times New Roman"/>
                          <w:i/>
                          <w:color w:val="auto"/>
                          <w:sz w:val="24"/>
                        </w:rPr>
                      </m:ctrlPr>
                    </m:sup>
                  </m:sSup>
                  <m:ctrlPr>
                    <w:rPr>
                      <w:rFonts w:hint="default" w:ascii="Cambria Math" w:hAnsi="Cambria Math" w:cs="Times New Roman"/>
                      <w:color w:val="auto"/>
                      <w:sz w:val="24"/>
                    </w:rPr>
                  </m:ctrlPr>
                </m:e>
              </m:acc>
            </m:oMath>
            <w:r>
              <w:rPr>
                <w:rFonts w:hint="default" w:ascii="Times New Roman" w:hAnsi="Times New Roman" w:cs="Times New Roman"/>
                <w:color w:val="auto"/>
                <w:sz w:val="24"/>
              </w:rPr>
              <w:t>＜2.5</w:t>
            </w:r>
          </w:p>
        </w:tc>
        <w:tc>
          <w:tcPr>
            <w:tcW w:w="1893" w:type="dxa"/>
            <w:vAlign w:val="center"/>
          </w:tcPr>
          <w:p>
            <w:pPr>
              <w:spacing w:line="240" w:lineRule="auto"/>
              <w:ind w:firstLine="0" w:firstLineChars="0"/>
              <w:jc w:val="center"/>
              <w:rPr>
                <w:rFonts w:hint="default" w:ascii="Times New Roman" w:hAnsi="Times New Roman" w:cs="Times New Roman"/>
                <w:color w:val="auto"/>
                <w:sz w:val="24"/>
              </w:rPr>
            </w:pPr>
            <m:oMath>
              <m:acc>
                <m:accPr>
                  <m:chr m:val="̇"/>
                  <m:ctrlPr>
                    <w:rPr>
                      <w:rFonts w:hint="default" w:ascii="Cambria Math" w:hAnsi="Cambria Math" w:cs="Times New Roman"/>
                      <w:color w:val="auto"/>
                      <w:sz w:val="24"/>
                    </w:rPr>
                  </m:ctrlPr>
                </m:accPr>
                <m:e>
                  <m:sSup>
                    <m:sSupPr>
                      <m:ctrlPr>
                        <w:rPr>
                          <w:rFonts w:hint="default" w:ascii="Cambria Math" w:hAnsi="Cambria Math" w:cs="Times New Roman"/>
                          <w:i/>
                          <w:color w:val="auto"/>
                          <w:sz w:val="24"/>
                        </w:rPr>
                      </m:ctrlPr>
                    </m:sSupPr>
                    <m:e>
                      <m:r>
                        <m:rPr/>
                        <w:rPr>
                          <w:rFonts w:hint="default" w:ascii="Cambria Math" w:hAnsi="Cambria Math" w:cs="Times New Roman"/>
                          <w:color w:val="auto"/>
                          <w:sz w:val="24"/>
                        </w:rPr>
                        <m:t>H</m:t>
                      </m:r>
                      <m:ctrlPr>
                        <w:rPr>
                          <w:rFonts w:hint="default" w:ascii="Cambria Math" w:hAnsi="Cambria Math" w:cs="Times New Roman"/>
                          <w:i/>
                          <w:color w:val="auto"/>
                          <w:sz w:val="24"/>
                        </w:rPr>
                      </m:ctrlPr>
                    </m:e>
                    <m:sup>
                      <m:r>
                        <m:rPr/>
                        <w:rPr>
                          <w:rFonts w:hint="default" w:ascii="Cambria Math" w:hAnsi="Cambria Math" w:cs="Times New Roman"/>
                          <w:color w:val="auto"/>
                          <w:sz w:val="24"/>
                        </w:rPr>
                        <m:t>∗</m:t>
                      </m:r>
                      <m:ctrlPr>
                        <w:rPr>
                          <w:rFonts w:hint="default" w:ascii="Cambria Math" w:hAnsi="Cambria Math" w:cs="Times New Roman"/>
                          <w:i/>
                          <w:color w:val="auto"/>
                          <w:sz w:val="24"/>
                        </w:rPr>
                      </m:ctrlPr>
                    </m:sup>
                  </m:sSup>
                  <m:ctrlPr>
                    <w:rPr>
                      <w:rFonts w:hint="default" w:ascii="Cambria Math" w:hAnsi="Cambria Math" w:cs="Times New Roman"/>
                      <w:color w:val="auto"/>
                      <w:sz w:val="24"/>
                    </w:rPr>
                  </m:ctrlPr>
                </m:e>
              </m:acc>
            </m:oMath>
            <w:r>
              <w:rPr>
                <w:rFonts w:hint="default" w:ascii="Times New Roman" w:hAnsi="Times New Roman" w:cs="Times New Roman"/>
                <w:color w:val="auto"/>
                <w:sz w:val="24"/>
              </w:rPr>
              <w:t>＜0.25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2" w:type="dxa"/>
            <w:vAlign w:val="center"/>
          </w:tcPr>
          <w:p>
            <w:pPr>
              <w:spacing w:line="240" w:lineRule="auto"/>
              <w:ind w:firstLine="0" w:firstLineChars="0"/>
              <w:jc w:val="center"/>
              <w:rPr>
                <w:rFonts w:hint="default" w:ascii="Times New Roman" w:hAnsi="Times New Roman" w:cs="Times New Roman"/>
                <w:color w:val="auto"/>
                <w:sz w:val="24"/>
              </w:rPr>
            </w:pPr>
            <w:r>
              <w:rPr>
                <w:rFonts w:hint="default" w:ascii="Times New Roman" w:hAnsi="Times New Roman" w:cs="Times New Roman"/>
                <w:color w:val="auto"/>
                <w:sz w:val="24"/>
              </w:rPr>
              <w:t>在距源容器外表面1m的区域内很少有人停留</w:t>
            </w:r>
          </w:p>
        </w:tc>
        <w:tc>
          <w:tcPr>
            <w:tcW w:w="1843" w:type="dxa"/>
            <w:vAlign w:val="center"/>
          </w:tcPr>
          <w:p>
            <w:pPr>
              <w:spacing w:line="240" w:lineRule="auto"/>
              <w:ind w:firstLine="0" w:firstLineChars="0"/>
              <w:jc w:val="center"/>
              <w:rPr>
                <w:rFonts w:hint="default" w:ascii="Times New Roman" w:hAnsi="Times New Roman" w:cs="Times New Roman"/>
                <w:color w:val="auto"/>
                <w:sz w:val="24"/>
              </w:rPr>
            </w:pPr>
            <w:r>
              <w:rPr>
                <w:rFonts w:hint="default" w:ascii="Times New Roman" w:hAnsi="Times New Roman" w:cs="Times New Roman"/>
                <w:color w:val="auto"/>
                <w:sz w:val="24"/>
              </w:rPr>
              <w:t>2.5≤</w:t>
            </w:r>
            <m:oMath>
              <m:acc>
                <m:accPr>
                  <m:chr m:val="̇"/>
                  <m:ctrlPr>
                    <w:rPr>
                      <w:rFonts w:hint="default" w:ascii="Cambria Math" w:hAnsi="Cambria Math" w:cs="Times New Roman"/>
                      <w:color w:val="auto"/>
                      <w:sz w:val="24"/>
                    </w:rPr>
                  </m:ctrlPr>
                </m:accPr>
                <m:e>
                  <m:sSup>
                    <m:sSupPr>
                      <m:ctrlPr>
                        <w:rPr>
                          <w:rFonts w:hint="default" w:ascii="Cambria Math" w:hAnsi="Cambria Math" w:cs="Times New Roman"/>
                          <w:i/>
                          <w:color w:val="auto"/>
                          <w:sz w:val="24"/>
                        </w:rPr>
                      </m:ctrlPr>
                    </m:sSupPr>
                    <m:e>
                      <m:r>
                        <m:rPr/>
                        <w:rPr>
                          <w:rFonts w:hint="default" w:ascii="Cambria Math" w:hAnsi="Cambria Math" w:cs="Times New Roman"/>
                          <w:color w:val="auto"/>
                          <w:sz w:val="24"/>
                        </w:rPr>
                        <m:t>H</m:t>
                      </m:r>
                      <m:ctrlPr>
                        <w:rPr>
                          <w:rFonts w:hint="default" w:ascii="Cambria Math" w:hAnsi="Cambria Math" w:cs="Times New Roman"/>
                          <w:i/>
                          <w:color w:val="auto"/>
                          <w:sz w:val="24"/>
                        </w:rPr>
                      </m:ctrlPr>
                    </m:e>
                    <m:sup>
                      <m:r>
                        <m:rPr/>
                        <w:rPr>
                          <w:rFonts w:hint="default" w:ascii="Cambria Math" w:hAnsi="Cambria Math" w:cs="Times New Roman"/>
                          <w:color w:val="auto"/>
                          <w:sz w:val="24"/>
                        </w:rPr>
                        <m:t>∗</m:t>
                      </m:r>
                      <m:ctrlPr>
                        <w:rPr>
                          <w:rFonts w:hint="default" w:ascii="Cambria Math" w:hAnsi="Cambria Math" w:cs="Times New Roman"/>
                          <w:i/>
                          <w:color w:val="auto"/>
                          <w:sz w:val="24"/>
                        </w:rPr>
                      </m:ctrlPr>
                    </m:sup>
                  </m:sSup>
                  <m:ctrlPr>
                    <w:rPr>
                      <w:rFonts w:hint="default" w:ascii="Cambria Math" w:hAnsi="Cambria Math" w:cs="Times New Roman"/>
                      <w:color w:val="auto"/>
                      <w:sz w:val="24"/>
                    </w:rPr>
                  </m:ctrlPr>
                </m:e>
              </m:acc>
            </m:oMath>
            <w:r>
              <w:rPr>
                <w:rFonts w:hint="default" w:ascii="Times New Roman" w:hAnsi="Times New Roman" w:cs="Times New Roman"/>
                <w:color w:val="auto"/>
                <w:sz w:val="24"/>
              </w:rPr>
              <w:t>＜25</w:t>
            </w:r>
          </w:p>
        </w:tc>
        <w:tc>
          <w:tcPr>
            <w:tcW w:w="1893" w:type="dxa"/>
            <w:vAlign w:val="center"/>
          </w:tcPr>
          <w:p>
            <w:pPr>
              <w:spacing w:line="240" w:lineRule="auto"/>
              <w:ind w:firstLine="0" w:firstLineChars="0"/>
              <w:jc w:val="center"/>
              <w:rPr>
                <w:rFonts w:hint="default" w:ascii="Times New Roman" w:hAnsi="Times New Roman" w:cs="Times New Roman"/>
                <w:color w:val="auto"/>
                <w:sz w:val="24"/>
              </w:rPr>
            </w:pPr>
            <m:oMath>
              <m:acc>
                <m:accPr>
                  <m:chr m:val="̇"/>
                  <m:ctrlPr>
                    <w:rPr>
                      <w:rFonts w:hint="default" w:ascii="Cambria Math" w:hAnsi="Cambria Math" w:cs="Times New Roman"/>
                      <w:color w:val="auto"/>
                      <w:sz w:val="24"/>
                    </w:rPr>
                  </m:ctrlPr>
                </m:accPr>
                <m:e>
                  <m:sSup>
                    <m:sSupPr>
                      <m:ctrlPr>
                        <w:rPr>
                          <w:rFonts w:hint="default" w:ascii="Cambria Math" w:hAnsi="Cambria Math" w:cs="Times New Roman"/>
                          <w:i/>
                          <w:color w:val="auto"/>
                          <w:sz w:val="24"/>
                        </w:rPr>
                      </m:ctrlPr>
                    </m:sSupPr>
                    <m:e>
                      <m:r>
                        <m:rPr/>
                        <w:rPr>
                          <w:rFonts w:hint="default" w:ascii="Cambria Math" w:hAnsi="Cambria Math" w:cs="Times New Roman"/>
                          <w:color w:val="auto"/>
                          <w:sz w:val="24"/>
                        </w:rPr>
                        <m:t>0.25≤H</m:t>
                      </m:r>
                      <m:ctrlPr>
                        <w:rPr>
                          <w:rFonts w:hint="default" w:ascii="Cambria Math" w:hAnsi="Cambria Math" w:cs="Times New Roman"/>
                          <w:i/>
                          <w:color w:val="auto"/>
                          <w:sz w:val="24"/>
                        </w:rPr>
                      </m:ctrlPr>
                    </m:e>
                    <m:sup>
                      <m:r>
                        <m:rPr/>
                        <w:rPr>
                          <w:rFonts w:hint="default" w:ascii="Cambria Math" w:hAnsi="Cambria Math" w:cs="Times New Roman"/>
                          <w:color w:val="auto"/>
                          <w:sz w:val="24"/>
                        </w:rPr>
                        <m:t>∗</m:t>
                      </m:r>
                      <m:ctrlPr>
                        <w:rPr>
                          <w:rFonts w:hint="default" w:ascii="Cambria Math" w:hAnsi="Cambria Math" w:cs="Times New Roman"/>
                          <w:i/>
                          <w:color w:val="auto"/>
                          <w:sz w:val="24"/>
                        </w:rPr>
                      </m:ctrlPr>
                    </m:sup>
                  </m:sSup>
                  <m:ctrlPr>
                    <w:rPr>
                      <w:rFonts w:hint="default" w:ascii="Cambria Math" w:hAnsi="Cambria Math" w:cs="Times New Roman"/>
                      <w:color w:val="auto"/>
                      <w:sz w:val="24"/>
                    </w:rPr>
                  </m:ctrlPr>
                </m:e>
              </m:acc>
            </m:oMath>
            <w:r>
              <w:rPr>
                <w:rFonts w:hint="default" w:ascii="Times New Roman" w:hAnsi="Times New Roman" w:cs="Times New Roman"/>
                <w:color w:val="auto"/>
                <w:sz w:val="24"/>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2" w:type="dxa"/>
            <w:vAlign w:val="center"/>
          </w:tcPr>
          <w:p>
            <w:pPr>
              <w:spacing w:line="240" w:lineRule="auto"/>
              <w:ind w:firstLine="0" w:firstLineChars="0"/>
              <w:jc w:val="left"/>
              <w:rPr>
                <w:rFonts w:hint="default" w:ascii="Times New Roman" w:hAnsi="Times New Roman" w:cs="Times New Roman"/>
                <w:color w:val="auto"/>
                <w:sz w:val="24"/>
              </w:rPr>
            </w:pPr>
            <w:r>
              <w:rPr>
                <w:rFonts w:hint="default" w:ascii="Times New Roman" w:hAnsi="Times New Roman" w:cs="Times New Roman"/>
                <w:color w:val="auto"/>
                <w:sz w:val="24"/>
              </w:rPr>
              <w:t>在距源容器外表面3m的区域内不可能有人进入或放射工作场所设置了监督区</w:t>
            </w:r>
            <w:r>
              <w:rPr>
                <w:rFonts w:hint="default" w:ascii="Times New Roman" w:hAnsi="Times New Roman" w:cs="Times New Roman"/>
                <w:color w:val="auto"/>
                <w:sz w:val="24"/>
                <w:vertAlign w:val="superscript"/>
              </w:rPr>
              <w:t>1）</w:t>
            </w:r>
          </w:p>
        </w:tc>
        <w:tc>
          <w:tcPr>
            <w:tcW w:w="1843" w:type="dxa"/>
            <w:vAlign w:val="center"/>
          </w:tcPr>
          <w:p>
            <w:pPr>
              <w:spacing w:line="240" w:lineRule="auto"/>
              <w:ind w:firstLine="0" w:firstLineChars="0"/>
              <w:jc w:val="center"/>
              <w:rPr>
                <w:rFonts w:hint="default" w:ascii="Times New Roman" w:hAnsi="Times New Roman" w:cs="Times New Roman"/>
                <w:color w:val="auto"/>
                <w:sz w:val="24"/>
              </w:rPr>
            </w:pPr>
            <m:oMath>
              <m:acc>
                <m:accPr>
                  <m:chr m:val="̇"/>
                  <m:ctrlPr>
                    <w:rPr>
                      <w:rFonts w:hint="default" w:ascii="Cambria Math" w:hAnsi="Cambria Math" w:cs="Times New Roman"/>
                      <w:color w:val="auto"/>
                      <w:sz w:val="24"/>
                    </w:rPr>
                  </m:ctrlPr>
                </m:accPr>
                <m:e>
                  <m:sSup>
                    <m:sSupPr>
                      <m:ctrlPr>
                        <w:rPr>
                          <w:rFonts w:hint="default" w:ascii="Cambria Math" w:hAnsi="Cambria Math" w:cs="Times New Roman"/>
                          <w:i/>
                          <w:color w:val="auto"/>
                          <w:sz w:val="24"/>
                        </w:rPr>
                      </m:ctrlPr>
                    </m:sSupPr>
                    <m:e>
                      <m:r>
                        <m:rPr/>
                        <w:rPr>
                          <w:rFonts w:hint="default" w:ascii="Cambria Math" w:hAnsi="Cambria Math" w:cs="Times New Roman"/>
                          <w:color w:val="auto"/>
                          <w:sz w:val="24"/>
                        </w:rPr>
                        <m:t>25≤H</m:t>
                      </m:r>
                      <m:ctrlPr>
                        <w:rPr>
                          <w:rFonts w:hint="default" w:ascii="Cambria Math" w:hAnsi="Cambria Math" w:cs="Times New Roman"/>
                          <w:i/>
                          <w:color w:val="auto"/>
                          <w:sz w:val="24"/>
                        </w:rPr>
                      </m:ctrlPr>
                    </m:e>
                    <m:sup>
                      <m:r>
                        <m:rPr/>
                        <w:rPr>
                          <w:rFonts w:hint="default" w:ascii="Cambria Math" w:hAnsi="Cambria Math" w:cs="Times New Roman"/>
                          <w:color w:val="auto"/>
                          <w:sz w:val="24"/>
                        </w:rPr>
                        <m:t>∗</m:t>
                      </m:r>
                      <m:ctrlPr>
                        <w:rPr>
                          <w:rFonts w:hint="default" w:ascii="Cambria Math" w:hAnsi="Cambria Math" w:cs="Times New Roman"/>
                          <w:i/>
                          <w:color w:val="auto"/>
                          <w:sz w:val="24"/>
                        </w:rPr>
                      </m:ctrlPr>
                    </m:sup>
                  </m:sSup>
                  <m:ctrlPr>
                    <w:rPr>
                      <w:rFonts w:hint="default" w:ascii="Cambria Math" w:hAnsi="Cambria Math" w:cs="Times New Roman"/>
                      <w:color w:val="auto"/>
                      <w:sz w:val="24"/>
                    </w:rPr>
                  </m:ctrlPr>
                </m:e>
              </m:acc>
            </m:oMath>
            <w:r>
              <w:rPr>
                <w:rFonts w:hint="default" w:ascii="Times New Roman" w:hAnsi="Times New Roman" w:cs="Times New Roman"/>
                <w:color w:val="auto"/>
                <w:sz w:val="24"/>
              </w:rPr>
              <w:t>＜250</w:t>
            </w:r>
          </w:p>
        </w:tc>
        <w:tc>
          <w:tcPr>
            <w:tcW w:w="1893" w:type="dxa"/>
            <w:vAlign w:val="center"/>
          </w:tcPr>
          <w:p>
            <w:pPr>
              <w:spacing w:line="240" w:lineRule="auto"/>
              <w:ind w:firstLine="0" w:firstLineChars="0"/>
              <w:jc w:val="center"/>
              <w:rPr>
                <w:rFonts w:hint="default" w:ascii="Times New Roman" w:hAnsi="Times New Roman" w:cs="Times New Roman"/>
                <w:color w:val="auto"/>
                <w:sz w:val="24"/>
              </w:rPr>
            </w:pPr>
            <m:oMath>
              <m:acc>
                <m:accPr>
                  <m:chr m:val="̇"/>
                  <m:ctrlPr>
                    <w:rPr>
                      <w:rFonts w:hint="default" w:ascii="Cambria Math" w:hAnsi="Cambria Math" w:cs="Times New Roman"/>
                      <w:color w:val="auto"/>
                      <w:sz w:val="24"/>
                    </w:rPr>
                  </m:ctrlPr>
                </m:accPr>
                <m:e>
                  <m:sSup>
                    <m:sSupPr>
                      <m:ctrlPr>
                        <w:rPr>
                          <w:rFonts w:hint="default" w:ascii="Cambria Math" w:hAnsi="Cambria Math" w:cs="Times New Roman"/>
                          <w:i/>
                          <w:color w:val="auto"/>
                          <w:sz w:val="24"/>
                        </w:rPr>
                      </m:ctrlPr>
                    </m:sSupPr>
                    <m:e>
                      <m:r>
                        <m:rPr/>
                        <w:rPr>
                          <w:rFonts w:hint="default" w:ascii="Cambria Math" w:hAnsi="Cambria Math" w:cs="Times New Roman"/>
                          <w:color w:val="auto"/>
                          <w:sz w:val="24"/>
                        </w:rPr>
                        <m:t>2.5≤H</m:t>
                      </m:r>
                      <m:ctrlPr>
                        <w:rPr>
                          <w:rFonts w:hint="default" w:ascii="Cambria Math" w:hAnsi="Cambria Math" w:cs="Times New Roman"/>
                          <w:i/>
                          <w:color w:val="auto"/>
                          <w:sz w:val="24"/>
                        </w:rPr>
                      </m:ctrlPr>
                    </m:e>
                    <m:sup>
                      <m:r>
                        <m:rPr/>
                        <w:rPr>
                          <w:rFonts w:hint="default" w:ascii="Cambria Math" w:hAnsi="Cambria Math" w:cs="Times New Roman"/>
                          <w:color w:val="auto"/>
                          <w:sz w:val="24"/>
                        </w:rPr>
                        <m:t>∗</m:t>
                      </m:r>
                      <m:ctrlPr>
                        <w:rPr>
                          <w:rFonts w:hint="default" w:ascii="Cambria Math" w:hAnsi="Cambria Math" w:cs="Times New Roman"/>
                          <w:i/>
                          <w:color w:val="auto"/>
                          <w:sz w:val="24"/>
                        </w:rPr>
                      </m:ctrlPr>
                    </m:sup>
                  </m:sSup>
                  <m:ctrlPr>
                    <w:rPr>
                      <w:rFonts w:hint="default" w:ascii="Cambria Math" w:hAnsi="Cambria Math" w:cs="Times New Roman"/>
                      <w:color w:val="auto"/>
                      <w:sz w:val="24"/>
                    </w:rPr>
                  </m:ctrlPr>
                </m:e>
              </m:acc>
            </m:oMath>
            <w:r>
              <w:rPr>
                <w:rFonts w:hint="default" w:ascii="Times New Roman" w:hAnsi="Times New Roman" w:cs="Times New Roman"/>
                <w:color w:val="auto"/>
                <w:sz w:val="24"/>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2" w:type="dxa"/>
            <w:vAlign w:val="center"/>
          </w:tcPr>
          <w:p>
            <w:pPr>
              <w:spacing w:line="240" w:lineRule="auto"/>
              <w:ind w:firstLine="0" w:firstLineChars="0"/>
              <w:jc w:val="left"/>
              <w:rPr>
                <w:rFonts w:hint="default" w:ascii="Times New Roman" w:hAnsi="Times New Roman" w:cs="Times New Roman"/>
                <w:color w:val="auto"/>
                <w:sz w:val="24"/>
              </w:rPr>
            </w:pPr>
            <w:r>
              <w:rPr>
                <w:rFonts w:hint="default" w:ascii="Times New Roman" w:hAnsi="Times New Roman" w:cs="Times New Roman"/>
                <w:color w:val="auto"/>
                <w:sz w:val="24"/>
              </w:rPr>
              <w:t>只能在特定的放射工作场所使用，并按控制区、监督区分区管理</w:t>
            </w:r>
          </w:p>
        </w:tc>
        <w:tc>
          <w:tcPr>
            <w:tcW w:w="1843" w:type="dxa"/>
            <w:vAlign w:val="center"/>
          </w:tcPr>
          <w:p>
            <w:pPr>
              <w:spacing w:line="240" w:lineRule="auto"/>
              <w:ind w:firstLine="0" w:firstLineChars="0"/>
              <w:jc w:val="center"/>
              <w:rPr>
                <w:rFonts w:hint="default" w:ascii="Times New Roman" w:hAnsi="Times New Roman" w:cs="Times New Roman"/>
                <w:color w:val="auto"/>
                <w:sz w:val="24"/>
              </w:rPr>
            </w:pPr>
            <w:r>
              <w:rPr>
                <w:rFonts w:hint="default" w:ascii="Times New Roman" w:hAnsi="Times New Roman" w:cs="Times New Roman"/>
                <w:color w:val="auto"/>
                <w:sz w:val="24"/>
              </w:rPr>
              <w:t>250≤</w:t>
            </w:r>
            <m:oMath>
              <m:acc>
                <m:accPr>
                  <m:chr m:val="̇"/>
                  <m:ctrlPr>
                    <w:rPr>
                      <w:rFonts w:hint="default" w:ascii="Cambria Math" w:hAnsi="Cambria Math" w:cs="Times New Roman"/>
                      <w:color w:val="auto"/>
                      <w:sz w:val="24"/>
                    </w:rPr>
                  </m:ctrlPr>
                </m:accPr>
                <m:e>
                  <m:sSup>
                    <m:sSupPr>
                      <m:ctrlPr>
                        <w:rPr>
                          <w:rFonts w:hint="default" w:ascii="Cambria Math" w:hAnsi="Cambria Math" w:cs="Times New Roman"/>
                          <w:i/>
                          <w:color w:val="auto"/>
                          <w:sz w:val="24"/>
                        </w:rPr>
                      </m:ctrlPr>
                    </m:sSupPr>
                    <m:e>
                      <m:r>
                        <m:rPr/>
                        <w:rPr>
                          <w:rFonts w:hint="default" w:ascii="Cambria Math" w:hAnsi="Cambria Math" w:cs="Times New Roman"/>
                          <w:color w:val="auto"/>
                          <w:sz w:val="24"/>
                        </w:rPr>
                        <m:t>H</m:t>
                      </m:r>
                      <m:ctrlPr>
                        <w:rPr>
                          <w:rFonts w:hint="default" w:ascii="Cambria Math" w:hAnsi="Cambria Math" w:cs="Times New Roman"/>
                          <w:i/>
                          <w:color w:val="auto"/>
                          <w:sz w:val="24"/>
                        </w:rPr>
                      </m:ctrlPr>
                    </m:e>
                    <m:sup>
                      <m:r>
                        <m:rPr/>
                        <w:rPr>
                          <w:rFonts w:hint="default" w:ascii="Cambria Math" w:hAnsi="Cambria Math" w:cs="Times New Roman"/>
                          <w:color w:val="auto"/>
                          <w:sz w:val="24"/>
                        </w:rPr>
                        <m:t>∗</m:t>
                      </m:r>
                      <m:ctrlPr>
                        <w:rPr>
                          <w:rFonts w:hint="default" w:ascii="Cambria Math" w:hAnsi="Cambria Math" w:cs="Times New Roman"/>
                          <w:i/>
                          <w:color w:val="auto"/>
                          <w:sz w:val="24"/>
                        </w:rPr>
                      </m:ctrlPr>
                    </m:sup>
                  </m:sSup>
                  <m:ctrlPr>
                    <w:rPr>
                      <w:rFonts w:hint="default" w:ascii="Cambria Math" w:hAnsi="Cambria Math" w:cs="Times New Roman"/>
                      <w:color w:val="auto"/>
                      <w:sz w:val="24"/>
                    </w:rPr>
                  </m:ctrlPr>
                </m:e>
              </m:acc>
            </m:oMath>
            <w:r>
              <w:rPr>
                <w:rFonts w:hint="default" w:ascii="Times New Roman" w:hAnsi="Times New Roman" w:cs="Times New Roman"/>
                <w:color w:val="auto"/>
                <w:sz w:val="24"/>
              </w:rPr>
              <w:t>＜1000</w:t>
            </w:r>
          </w:p>
        </w:tc>
        <w:tc>
          <w:tcPr>
            <w:tcW w:w="1893" w:type="dxa"/>
            <w:vAlign w:val="center"/>
          </w:tcPr>
          <w:p>
            <w:pPr>
              <w:spacing w:line="240" w:lineRule="auto"/>
              <w:ind w:firstLine="0" w:firstLineChars="0"/>
              <w:jc w:val="center"/>
              <w:rPr>
                <w:rFonts w:hint="default" w:ascii="Times New Roman" w:hAnsi="Times New Roman" w:cs="Times New Roman"/>
                <w:color w:val="auto"/>
                <w:sz w:val="24"/>
              </w:rPr>
            </w:pPr>
            <m:oMath>
              <m:acc>
                <m:accPr>
                  <m:chr m:val="̇"/>
                  <m:ctrlPr>
                    <w:rPr>
                      <w:rFonts w:hint="default" w:ascii="Cambria Math" w:hAnsi="Cambria Math" w:cs="Times New Roman"/>
                      <w:color w:val="auto"/>
                      <w:sz w:val="24"/>
                    </w:rPr>
                  </m:ctrlPr>
                </m:accPr>
                <m:e>
                  <m:sSup>
                    <m:sSupPr>
                      <m:ctrlPr>
                        <w:rPr>
                          <w:rFonts w:hint="default" w:ascii="Cambria Math" w:hAnsi="Cambria Math" w:cs="Times New Roman"/>
                          <w:i/>
                          <w:color w:val="auto"/>
                          <w:sz w:val="24"/>
                        </w:rPr>
                      </m:ctrlPr>
                    </m:sSupPr>
                    <m:e>
                      <m:r>
                        <m:rPr/>
                        <w:rPr>
                          <w:rFonts w:hint="default" w:ascii="Cambria Math" w:hAnsi="Cambria Math" w:cs="Times New Roman"/>
                          <w:color w:val="auto"/>
                          <w:sz w:val="24"/>
                        </w:rPr>
                        <m:t>25≤H</m:t>
                      </m:r>
                      <m:ctrlPr>
                        <w:rPr>
                          <w:rFonts w:hint="default" w:ascii="Cambria Math" w:hAnsi="Cambria Math" w:cs="Times New Roman"/>
                          <w:i/>
                          <w:color w:val="auto"/>
                          <w:sz w:val="24"/>
                        </w:rPr>
                      </m:ctrlPr>
                    </m:e>
                    <m:sup>
                      <m:r>
                        <m:rPr/>
                        <w:rPr>
                          <w:rFonts w:hint="default" w:ascii="Cambria Math" w:hAnsi="Cambria Math" w:cs="Times New Roman"/>
                          <w:color w:val="auto"/>
                          <w:sz w:val="24"/>
                        </w:rPr>
                        <m:t>∗</m:t>
                      </m:r>
                      <m:ctrlPr>
                        <w:rPr>
                          <w:rFonts w:hint="default" w:ascii="Cambria Math" w:hAnsi="Cambria Math" w:cs="Times New Roman"/>
                          <w:i/>
                          <w:color w:val="auto"/>
                          <w:sz w:val="24"/>
                        </w:rPr>
                      </m:ctrlPr>
                    </m:sup>
                  </m:sSup>
                  <m:ctrlPr>
                    <w:rPr>
                      <w:rFonts w:hint="default" w:ascii="Cambria Math" w:hAnsi="Cambria Math" w:cs="Times New Roman"/>
                      <w:color w:val="auto"/>
                      <w:sz w:val="24"/>
                    </w:rPr>
                  </m:ctrlPr>
                </m:e>
              </m:acc>
            </m:oMath>
            <w:r>
              <w:rPr>
                <w:rFonts w:hint="default" w:ascii="Times New Roman" w:hAnsi="Times New Roman" w:cs="Times New Roman"/>
                <w:color w:val="auto"/>
                <w:sz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8698" w:type="dxa"/>
            <w:gridSpan w:val="3"/>
            <w:vAlign w:val="center"/>
          </w:tcPr>
          <w:p>
            <w:pPr>
              <w:spacing w:line="240" w:lineRule="auto"/>
              <w:ind w:firstLine="0" w:firstLineChars="0"/>
              <w:jc w:val="left"/>
              <w:rPr>
                <w:rFonts w:hint="default" w:ascii="Times New Roman" w:hAnsi="Times New Roman" w:cs="Times New Roman"/>
                <w:color w:val="auto"/>
                <w:sz w:val="24"/>
              </w:rPr>
            </w:pPr>
            <w:r>
              <w:rPr>
                <w:rFonts w:hint="default" w:ascii="Times New Roman" w:hAnsi="Times New Roman" w:cs="Times New Roman"/>
                <w:color w:val="auto"/>
                <w:sz w:val="24"/>
              </w:rPr>
              <w:t>1）监督区边界剂量率为2.5μSv/h。</w:t>
            </w:r>
          </w:p>
          <w:p>
            <w:pPr>
              <w:spacing w:line="240" w:lineRule="auto"/>
              <w:ind w:firstLine="0" w:firstLineChars="0"/>
              <w:jc w:val="left"/>
              <w:rPr>
                <w:rFonts w:hint="default" w:ascii="Times New Roman" w:hAnsi="Times New Roman" w:cs="Times New Roman"/>
                <w:color w:val="auto"/>
                <w:sz w:val="24"/>
              </w:rPr>
            </w:pPr>
            <w:r>
              <w:rPr>
                <w:rFonts w:hint="default" w:ascii="Times New Roman" w:hAnsi="Times New Roman" w:cs="Times New Roman"/>
                <w:color w:val="auto"/>
                <w:sz w:val="24"/>
              </w:rPr>
              <w:t>2）距测量头或源部件及探头表面的距离。</w:t>
            </w:r>
          </w:p>
        </w:tc>
      </w:tr>
    </w:tbl>
    <w:p>
      <w:pPr>
        <w:pStyle w:val="4"/>
        <w:ind w:left="0" w:leftChars="0" w:firstLine="0" w:firstLineChars="0"/>
        <w:rPr>
          <w:rFonts w:hint="default" w:ascii="Times New Roman" w:hAnsi="Times New Roman" w:cs="Times New Roman"/>
          <w:color w:val="auto"/>
        </w:rPr>
      </w:pPr>
      <w:bookmarkStart w:id="40" w:name="_Toc29186"/>
      <w:r>
        <w:rPr>
          <w:rFonts w:hint="default" w:ascii="Times New Roman" w:hAnsi="Times New Roman" w:cs="Times New Roman"/>
          <w:color w:val="auto"/>
        </w:rPr>
        <w:t>5.2工业探伤射线装置</w:t>
      </w:r>
      <w:bookmarkEnd w:id="40"/>
    </w:p>
    <w:p>
      <w:pPr>
        <w:ind w:firstLine="560"/>
        <w:rPr>
          <w:rFonts w:hint="default" w:ascii="Times New Roman" w:hAnsi="Times New Roman" w:cs="Times New Roman"/>
          <w:color w:val="auto"/>
        </w:rPr>
      </w:pPr>
      <w:r>
        <w:rPr>
          <w:rFonts w:hint="default" w:ascii="Times New Roman" w:hAnsi="Times New Roman" w:cs="Times New Roman"/>
          <w:color w:val="auto"/>
        </w:rPr>
        <w:t>《工业X射线探伤放射防护要求》（GBZ 117-2015）中规定：</w:t>
      </w:r>
    </w:p>
    <w:p>
      <w:pPr>
        <w:ind w:firstLine="560"/>
        <w:rPr>
          <w:rFonts w:hint="default" w:ascii="Times New Roman" w:hAnsi="Times New Roman" w:cs="Times New Roman"/>
          <w:color w:val="auto"/>
        </w:rPr>
      </w:pPr>
      <w:r>
        <w:rPr>
          <w:rFonts w:hint="default" w:ascii="Times New Roman" w:hAnsi="Times New Roman" w:cs="Times New Roman"/>
          <w:color w:val="auto"/>
        </w:rPr>
        <w:t>（1）关注点最高周围剂量当量率参考控制水平不大于2.5μSv/h 。</w:t>
      </w:r>
    </w:p>
    <w:p>
      <w:pPr>
        <w:ind w:firstLine="560"/>
        <w:rPr>
          <w:rFonts w:hint="default" w:ascii="Times New Roman" w:hAnsi="Times New Roman" w:cs="Times New Roman"/>
          <w:color w:val="auto"/>
        </w:rPr>
      </w:pPr>
      <w:r>
        <w:rPr>
          <w:rFonts w:hint="default" w:ascii="Times New Roman" w:hAnsi="Times New Roman" w:cs="Times New Roman"/>
          <w:color w:val="auto"/>
        </w:rPr>
        <w:t>（2）对不需要人员到达的探伤室顶，探伤室顶外表面 30cm 处的剂量率参考控制水平通常可取为100μSv / h 。</w:t>
      </w:r>
    </w:p>
    <w:p>
      <w:pPr>
        <w:pStyle w:val="4"/>
        <w:ind w:left="0" w:leftChars="0" w:firstLine="0" w:firstLineChars="0"/>
        <w:rPr>
          <w:rFonts w:hint="default" w:ascii="Times New Roman" w:hAnsi="Times New Roman" w:cs="Times New Roman"/>
          <w:color w:val="auto"/>
        </w:rPr>
      </w:pPr>
      <w:bookmarkStart w:id="41" w:name="_Toc23733"/>
      <w:r>
        <w:rPr>
          <w:rFonts w:hint="default" w:ascii="Times New Roman" w:hAnsi="Times New Roman" w:cs="Times New Roman"/>
          <w:color w:val="auto"/>
        </w:rPr>
        <w:t>5.3医用射线装置</w:t>
      </w:r>
      <w:bookmarkEnd w:id="41"/>
    </w:p>
    <w:p>
      <w:pPr>
        <w:ind w:firstLine="560"/>
        <w:rPr>
          <w:rFonts w:hint="default" w:ascii="Times New Roman" w:hAnsi="Times New Roman" w:cs="Times New Roman"/>
          <w:color w:val="auto"/>
        </w:rPr>
      </w:pPr>
      <w:r>
        <w:rPr>
          <w:rFonts w:hint="default" w:ascii="Times New Roman" w:hAnsi="Times New Roman" w:cs="Times New Roman"/>
          <w:color w:val="auto"/>
        </w:rPr>
        <w:t>《放射诊断放射防护要求》（GBZ 130-2020）中规定：</w:t>
      </w:r>
    </w:p>
    <w:p>
      <w:pPr>
        <w:ind w:firstLine="560"/>
        <w:rPr>
          <w:rFonts w:hint="default" w:ascii="Times New Roman" w:hAnsi="Times New Roman" w:cs="Times New Roman"/>
          <w:color w:val="auto"/>
        </w:rPr>
      </w:pPr>
      <w:r>
        <w:rPr>
          <w:rFonts w:hint="default" w:ascii="Times New Roman" w:hAnsi="Times New Roman" w:cs="Times New Roman"/>
          <w:color w:val="auto"/>
        </w:rPr>
        <w:t>（1）具有透视功能的 X 射线设备在透视条件下检测时，周围剂量当量率应不大于 2.5 μSv/h；测量时，X 射线设备连续出束时间应大于仪器响应时间。</w:t>
      </w:r>
    </w:p>
    <w:p>
      <w:pPr>
        <w:ind w:firstLine="560"/>
        <w:rPr>
          <w:rFonts w:hint="default" w:ascii="Times New Roman" w:hAnsi="Times New Roman" w:cs="Times New Roman"/>
          <w:color w:val="auto"/>
        </w:rPr>
      </w:pPr>
      <w:r>
        <w:rPr>
          <w:rFonts w:hint="default" w:ascii="Times New Roman" w:hAnsi="Times New Roman" w:cs="Times New Roman"/>
          <w:color w:val="auto"/>
        </w:rPr>
        <w:t>（2）CT 机、乳腺摄影、乳腺 CBCT、口内牙片摄影、牙科全景摄影、牙科全景头颅摄影、口腔 CBCT和全身骨密度仪机房外的周围剂量当量率应不大于 2.5 μSv/h。</w:t>
      </w:r>
    </w:p>
    <w:p>
      <w:pPr>
        <w:ind w:firstLine="560"/>
        <w:rPr>
          <w:rFonts w:hint="default" w:ascii="Times New Roman" w:hAnsi="Times New Roman" w:cs="Times New Roman"/>
          <w:color w:val="auto"/>
        </w:rPr>
      </w:pPr>
      <w:r>
        <w:rPr>
          <w:rFonts w:hint="default" w:ascii="Times New Roman" w:hAnsi="Times New Roman" w:cs="Times New Roman"/>
          <w:color w:val="auto"/>
        </w:rPr>
        <w:t>（3）具有短时、高剂量率曝光的摄影程序（如 DR、CR、屏片摄影）机房外的周围剂量当量率应不大于 25 μSv/h，当超过时应进行机房外人员的年有效剂量评估，应不大于 0.25 mSv。</w:t>
      </w:r>
    </w:p>
    <w:p>
      <w:pPr>
        <w:ind w:firstLine="560"/>
        <w:rPr>
          <w:rFonts w:hint="default" w:ascii="Times New Roman" w:hAnsi="Times New Roman" w:cs="Times New Roman"/>
          <w:color w:val="auto"/>
        </w:rPr>
      </w:pPr>
      <w:r>
        <w:rPr>
          <w:rFonts w:hint="default" w:ascii="Times New Roman" w:hAnsi="Times New Roman" w:cs="Times New Roman"/>
          <w:color w:val="auto"/>
        </w:rPr>
        <w:t>（4）车载式诊断 X 射线设备工作时，应在车辆周围 3 m 设立临时控制区，控制区边界的周围剂量当量率应符合上述（1）~（3）的要求。</w:t>
      </w:r>
    </w:p>
    <w:p>
      <w:pPr>
        <w:pStyle w:val="4"/>
        <w:ind w:left="0" w:leftChars="0" w:firstLine="0" w:firstLineChars="0"/>
        <w:rPr>
          <w:rFonts w:hint="default" w:ascii="Times New Roman" w:hAnsi="Times New Roman" w:cs="Times New Roman"/>
          <w:color w:val="auto"/>
        </w:rPr>
      </w:pPr>
      <w:bookmarkStart w:id="42" w:name="_Toc32019"/>
      <w:r>
        <w:rPr>
          <w:rFonts w:hint="default" w:ascii="Times New Roman" w:hAnsi="Times New Roman" w:cs="Times New Roman"/>
          <w:color w:val="auto"/>
        </w:rPr>
        <w:t>5.</w:t>
      </w:r>
      <w:r>
        <w:rPr>
          <w:rFonts w:hint="default" w:ascii="Times New Roman" w:hAnsi="Times New Roman" w:cs="Times New Roman"/>
          <w:color w:val="auto"/>
          <w:lang w:val="en-US" w:eastAsia="zh-CN"/>
        </w:rPr>
        <w:t>4</w:t>
      </w:r>
      <w:r>
        <w:rPr>
          <w:rFonts w:hint="default" w:ascii="Times New Roman" w:hAnsi="Times New Roman" w:cs="Times New Roman"/>
          <w:color w:val="auto"/>
        </w:rPr>
        <w:t>通讯基站</w:t>
      </w:r>
      <w:bookmarkEnd w:id="42"/>
    </w:p>
    <w:p>
      <w:pPr>
        <w:ind w:firstLine="560"/>
        <w:rPr>
          <w:rFonts w:hint="default" w:ascii="Times New Roman" w:hAnsi="Times New Roman" w:cs="Times New Roman"/>
          <w:color w:val="auto"/>
        </w:rPr>
      </w:pPr>
      <w:r>
        <w:rPr>
          <w:rFonts w:hint="default" w:ascii="Times New Roman" w:hAnsi="Times New Roman" w:cs="Times New Roman"/>
          <w:color w:val="auto"/>
        </w:rPr>
        <w:t>根据三家运营商的5G频率范围，通过《电磁环境控制限值》（GB 8702-2014）中表1计算可得：</w:t>
      </w:r>
    </w:p>
    <w:p>
      <w:pPr>
        <w:ind w:firstLine="0" w:firstLineChars="0"/>
        <w:jc w:val="center"/>
        <w:rPr>
          <w:rFonts w:hint="default" w:ascii="Times New Roman" w:hAnsi="Times New Roman" w:eastAsia="黑体" w:cs="Times New Roman"/>
          <w:color w:val="auto"/>
          <w:sz w:val="24"/>
        </w:rPr>
      </w:pPr>
      <w:r>
        <w:rPr>
          <w:rFonts w:hint="default" w:ascii="Times New Roman" w:hAnsi="Times New Roman" w:eastAsia="黑体" w:cs="Times New Roman"/>
          <w:color w:val="auto"/>
          <w:sz w:val="24"/>
        </w:rPr>
        <w:t>表5-2  三大运营商5G（Sub 6G）电磁辐射限值要求</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2"/>
        <w:gridCol w:w="2410"/>
        <w:gridCol w:w="2126"/>
        <w:gridCol w:w="2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color w:val="auto"/>
                <w:sz w:val="24"/>
              </w:rPr>
            </w:pPr>
            <w:r>
              <w:rPr>
                <w:rFonts w:hint="default" w:ascii="Times New Roman" w:hAnsi="Times New Roman" w:cs="Times New Roman"/>
                <w:b/>
                <w:color w:val="auto"/>
                <w:sz w:val="24"/>
              </w:rPr>
              <w:t>运营商</w:t>
            </w:r>
          </w:p>
        </w:tc>
        <w:tc>
          <w:tcPr>
            <w:tcW w:w="2410"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color w:val="auto"/>
                <w:sz w:val="24"/>
              </w:rPr>
            </w:pPr>
            <w:r>
              <w:rPr>
                <w:rFonts w:hint="default" w:ascii="Times New Roman" w:hAnsi="Times New Roman" w:cs="Times New Roman"/>
                <w:b/>
                <w:color w:val="auto"/>
                <w:sz w:val="24"/>
              </w:rPr>
              <w:t>5G（FR1）频率范围</w:t>
            </w:r>
          </w:p>
        </w:tc>
        <w:tc>
          <w:tcPr>
            <w:tcW w:w="2126"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color w:val="auto"/>
                <w:sz w:val="24"/>
              </w:rPr>
            </w:pPr>
            <w:r>
              <w:rPr>
                <w:rFonts w:hint="default" w:ascii="Times New Roman" w:hAnsi="Times New Roman" w:cs="Times New Roman"/>
                <w:b/>
                <w:color w:val="auto"/>
                <w:sz w:val="24"/>
              </w:rPr>
              <w:t>电场强度</w:t>
            </w:r>
            <w:r>
              <w:rPr>
                <w:rFonts w:hint="default" w:ascii="Times New Roman" w:hAnsi="Times New Roman" w:cs="Times New Roman"/>
                <w:b/>
                <w:i/>
                <w:color w:val="auto"/>
                <w:sz w:val="24"/>
              </w:rPr>
              <w:t>E</w:t>
            </w:r>
            <w:r>
              <w:rPr>
                <w:rFonts w:hint="default" w:ascii="Times New Roman" w:hAnsi="Times New Roman" w:cs="Times New Roman"/>
                <w:b/>
                <w:color w:val="auto"/>
                <w:sz w:val="24"/>
              </w:rPr>
              <w:t>（V/m）</w:t>
            </w:r>
          </w:p>
        </w:tc>
        <w:tc>
          <w:tcPr>
            <w:tcW w:w="274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color w:val="auto"/>
                <w:sz w:val="24"/>
              </w:rPr>
            </w:pPr>
            <w:r>
              <w:rPr>
                <w:rFonts w:hint="default" w:ascii="Times New Roman" w:hAnsi="Times New Roman" w:cs="Times New Roman"/>
                <w:b/>
                <w:color w:val="auto"/>
                <w:sz w:val="24"/>
              </w:rPr>
              <w:t>功率密度S</w:t>
            </w:r>
            <w:r>
              <w:rPr>
                <w:rFonts w:hint="default" w:ascii="Times New Roman" w:hAnsi="Times New Roman" w:cs="Times New Roman"/>
                <w:b/>
                <w:color w:val="auto"/>
                <w:sz w:val="24"/>
                <w:vertAlign w:val="subscript"/>
              </w:rPr>
              <w:t>eq</w:t>
            </w:r>
            <w:r>
              <w:rPr>
                <w:rFonts w:hint="default" w:ascii="Times New Roman" w:hAnsi="Times New Roman" w:cs="Times New Roman"/>
                <w:b/>
                <w:color w:val="auto"/>
                <w:sz w:val="24"/>
              </w:rPr>
              <w:t>（μ</w:t>
            </w:r>
            <w:r>
              <w:rPr>
                <w:rFonts w:hint="eastAsia" w:ascii="Times New Roman" w:hAnsi="Times New Roman" w:cs="Times New Roman"/>
                <w:b/>
                <w:color w:val="auto"/>
                <w:sz w:val="24"/>
                <w:lang w:val="en-US" w:eastAsia="zh-CN"/>
              </w:rPr>
              <w:t>W</w:t>
            </w:r>
            <w:bookmarkStart w:id="59" w:name="_GoBack"/>
            <w:bookmarkEnd w:id="59"/>
            <w:r>
              <w:rPr>
                <w:rFonts w:hint="default" w:ascii="Times New Roman" w:hAnsi="Times New Roman" w:cs="Times New Roman"/>
                <w:b/>
                <w:color w:val="auto"/>
                <w:sz w:val="24"/>
              </w:rPr>
              <w:t>/cm</w:t>
            </w:r>
            <w:r>
              <w:rPr>
                <w:rFonts w:hint="default" w:ascii="Times New Roman" w:hAnsi="Times New Roman" w:cs="Times New Roman"/>
                <w:b/>
                <w:color w:val="auto"/>
                <w:sz w:val="24"/>
                <w:vertAlign w:val="superscript"/>
              </w:rPr>
              <w:t>2</w:t>
            </w:r>
            <w:r>
              <w:rPr>
                <w:rFonts w:hint="default" w:ascii="Times New Roman" w:hAnsi="Times New Roman" w:cs="Times New Roman"/>
                <w:b/>
                <w:color w:val="auto"/>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中国电信</w:t>
            </w:r>
          </w:p>
        </w:tc>
        <w:tc>
          <w:tcPr>
            <w:tcW w:w="2410"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3400~3500MHz</w:t>
            </w:r>
          </w:p>
        </w:tc>
        <w:tc>
          <w:tcPr>
            <w:tcW w:w="2126"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13</w:t>
            </w:r>
          </w:p>
        </w:tc>
        <w:tc>
          <w:tcPr>
            <w:tcW w:w="274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中国移动</w:t>
            </w:r>
          </w:p>
        </w:tc>
        <w:tc>
          <w:tcPr>
            <w:tcW w:w="2410"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2515~2675 MHz</w:t>
            </w:r>
          </w:p>
        </w:tc>
        <w:tc>
          <w:tcPr>
            <w:tcW w:w="2126"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12</w:t>
            </w:r>
          </w:p>
        </w:tc>
        <w:tc>
          <w:tcPr>
            <w:tcW w:w="274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p>
        </w:tc>
        <w:tc>
          <w:tcPr>
            <w:tcW w:w="2410"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4800~4900 MHz</w:t>
            </w:r>
          </w:p>
        </w:tc>
        <w:tc>
          <w:tcPr>
            <w:tcW w:w="2126"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15.4</w:t>
            </w:r>
          </w:p>
        </w:tc>
        <w:tc>
          <w:tcPr>
            <w:tcW w:w="274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中国联通</w:t>
            </w:r>
          </w:p>
        </w:tc>
        <w:tc>
          <w:tcPr>
            <w:tcW w:w="2410"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3500~3600 MHz</w:t>
            </w:r>
          </w:p>
        </w:tc>
        <w:tc>
          <w:tcPr>
            <w:tcW w:w="2126"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13.2</w:t>
            </w:r>
          </w:p>
        </w:tc>
        <w:tc>
          <w:tcPr>
            <w:tcW w:w="274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48</w:t>
            </w:r>
          </w:p>
        </w:tc>
      </w:tr>
    </w:tbl>
    <w:p>
      <w:pPr>
        <w:ind w:firstLine="560"/>
        <w:rPr>
          <w:rFonts w:hint="default" w:ascii="Times New Roman" w:hAnsi="Times New Roman" w:cs="Times New Roman"/>
          <w:color w:val="auto"/>
        </w:rPr>
        <w:sectPr>
          <w:pgSz w:w="11906" w:h="16838"/>
          <w:pgMar w:top="1440" w:right="1800" w:bottom="1440" w:left="1800" w:header="851" w:footer="992" w:gutter="0"/>
          <w:cols w:space="425" w:num="1"/>
          <w:docGrid w:type="lines" w:linePitch="312" w:charSpace="0"/>
        </w:sectPr>
      </w:pPr>
    </w:p>
    <w:p>
      <w:pPr>
        <w:pStyle w:val="3"/>
        <w:ind w:left="0" w:leftChars="0" w:firstLine="0" w:firstLineChars="0"/>
        <w:rPr>
          <w:rFonts w:hint="default" w:ascii="Times New Roman" w:hAnsi="Times New Roman" w:cs="Times New Roman"/>
          <w:color w:val="auto"/>
        </w:rPr>
      </w:pPr>
      <w:bookmarkStart w:id="43" w:name="_Toc13127"/>
      <w:r>
        <w:rPr>
          <w:rFonts w:hint="default" w:ascii="Times New Roman" w:hAnsi="Times New Roman" w:cs="Times New Roman"/>
          <w:color w:val="auto"/>
        </w:rPr>
        <w:t>6 辐射环境现状监测</w:t>
      </w:r>
      <w:bookmarkEnd w:id="43"/>
    </w:p>
    <w:p>
      <w:pPr>
        <w:pStyle w:val="4"/>
        <w:ind w:left="0" w:leftChars="0" w:firstLine="0" w:firstLineChars="0"/>
        <w:rPr>
          <w:rFonts w:hint="default" w:ascii="Times New Roman" w:hAnsi="Times New Roman" w:cs="Times New Roman"/>
          <w:color w:val="auto"/>
        </w:rPr>
      </w:pPr>
      <w:bookmarkStart w:id="44" w:name="_Toc24757"/>
      <w:r>
        <w:rPr>
          <w:rFonts w:hint="default" w:ascii="Times New Roman" w:hAnsi="Times New Roman" w:cs="Times New Roman"/>
          <w:color w:val="auto"/>
        </w:rPr>
        <w:t>6.1监测数据</w:t>
      </w:r>
      <w:bookmarkEnd w:id="44"/>
    </w:p>
    <w:p>
      <w:pPr>
        <w:pStyle w:val="5"/>
        <w:ind w:left="0" w:leftChars="0" w:firstLine="0" w:firstLineChars="0"/>
        <w:rPr>
          <w:rFonts w:hint="default" w:ascii="Times New Roman" w:hAnsi="Times New Roman" w:cs="Times New Roman"/>
          <w:color w:val="auto"/>
        </w:rPr>
      </w:pPr>
      <w:bookmarkStart w:id="45" w:name="_Toc26238"/>
      <w:r>
        <w:rPr>
          <w:rFonts w:hint="default" w:ascii="Times New Roman" w:hAnsi="Times New Roman" w:cs="Times New Roman"/>
          <w:color w:val="auto"/>
        </w:rPr>
        <w:t>6.1.1密封放射源核技术利用单位</w:t>
      </w:r>
      <w:bookmarkEnd w:id="45"/>
    </w:p>
    <w:p>
      <w:pPr>
        <w:ind w:firstLine="560"/>
        <w:rPr>
          <w:rFonts w:hint="default" w:ascii="Times New Roman" w:hAnsi="Times New Roman" w:cs="Times New Roman"/>
          <w:color w:val="auto"/>
        </w:rPr>
      </w:pPr>
      <w:r>
        <w:rPr>
          <w:rFonts w:hint="default" w:ascii="Times New Roman" w:hAnsi="Times New Roman" w:cs="Times New Roman"/>
          <w:color w:val="auto"/>
          <w:lang w:eastAsia="zh-CN"/>
        </w:rPr>
        <w:t>随州</w:t>
      </w:r>
      <w:r>
        <w:rPr>
          <w:rFonts w:hint="default" w:ascii="Times New Roman" w:hAnsi="Times New Roman" w:cs="Times New Roman"/>
          <w:color w:val="auto"/>
        </w:rPr>
        <w:t>市使用密封放射源技术利用单位共有</w:t>
      </w:r>
      <w:r>
        <w:rPr>
          <w:rFonts w:hint="default" w:ascii="Times New Roman" w:hAnsi="Times New Roman" w:cs="Times New Roman"/>
          <w:color w:val="auto"/>
          <w:lang w:val="en-US" w:eastAsia="zh-CN"/>
        </w:rPr>
        <w:t>5</w:t>
      </w:r>
      <w:r>
        <w:rPr>
          <w:rFonts w:hint="default" w:ascii="Times New Roman" w:hAnsi="Times New Roman" w:cs="Times New Roman"/>
          <w:color w:val="auto"/>
        </w:rPr>
        <w:t>家，经现场调查，有1家企业</w:t>
      </w:r>
      <w:r>
        <w:rPr>
          <w:rFonts w:hint="default" w:ascii="Times New Roman" w:hAnsi="Times New Roman" w:cs="Times New Roman"/>
          <w:color w:val="auto"/>
          <w:lang w:eastAsia="zh-CN"/>
        </w:rPr>
        <w:t>放射源已闲置</w:t>
      </w:r>
      <w:r>
        <w:rPr>
          <w:rFonts w:hint="default" w:ascii="Times New Roman" w:hAnsi="Times New Roman" w:cs="Times New Roman"/>
          <w:color w:val="auto"/>
        </w:rPr>
        <w:t>（随州市金环水泥有限责任公司），因此本次共完成了</w:t>
      </w:r>
      <w:r>
        <w:rPr>
          <w:rFonts w:hint="default" w:ascii="Times New Roman" w:hAnsi="Times New Roman" w:cs="Times New Roman"/>
          <w:color w:val="auto"/>
          <w:lang w:val="en-US" w:eastAsia="zh-CN"/>
        </w:rPr>
        <w:t>4</w:t>
      </w:r>
      <w:r>
        <w:rPr>
          <w:rFonts w:hint="default" w:ascii="Times New Roman" w:hAnsi="Times New Roman" w:cs="Times New Roman"/>
          <w:color w:val="auto"/>
        </w:rPr>
        <w:t>家使用密封放射源核技术利用单位的辐射环境监测工作，详见表1-1。</w:t>
      </w:r>
    </w:p>
    <w:p>
      <w:pPr>
        <w:ind w:firstLine="0" w:firstLineChars="0"/>
        <w:jc w:val="center"/>
        <w:rPr>
          <w:rFonts w:hint="default" w:ascii="Times New Roman" w:hAnsi="Times New Roman" w:cs="Times New Roman"/>
          <w:color w:val="auto"/>
        </w:rPr>
      </w:pPr>
      <w:r>
        <w:rPr>
          <w:rFonts w:hint="default" w:ascii="Times New Roman" w:hAnsi="Times New Roman" w:eastAsia="黑体" w:cs="Times New Roman"/>
          <w:color w:val="auto"/>
          <w:sz w:val="24"/>
        </w:rPr>
        <w:t>表6-1 使用密封放射源核技术利用单位监测结果一览表</w:t>
      </w:r>
    </w:p>
    <w:tbl>
      <w:tblPr>
        <w:tblStyle w:val="13"/>
        <w:tblW w:w="88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9"/>
        <w:gridCol w:w="3337"/>
        <w:gridCol w:w="1365"/>
        <w:gridCol w:w="1440"/>
        <w:gridCol w:w="22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19" w:type="dxa"/>
            <w:vMerge w:val="restart"/>
            <w:vAlign w:val="center"/>
          </w:tcPr>
          <w:p>
            <w:pPr>
              <w:spacing w:line="240" w:lineRule="auto"/>
              <w:ind w:firstLine="0" w:firstLineChars="0"/>
              <w:jc w:val="center"/>
              <w:rPr>
                <w:rFonts w:hint="default" w:ascii="Times New Roman" w:hAnsi="Times New Roman" w:cs="Times New Roman"/>
                <w:b/>
                <w:color w:val="auto"/>
                <w:sz w:val="24"/>
              </w:rPr>
            </w:pPr>
            <w:r>
              <w:rPr>
                <w:rFonts w:hint="default" w:ascii="Times New Roman" w:hAnsi="Times New Roman" w:cs="Times New Roman"/>
                <w:b/>
                <w:color w:val="auto"/>
                <w:sz w:val="24"/>
              </w:rPr>
              <w:t>序号</w:t>
            </w:r>
          </w:p>
        </w:tc>
        <w:tc>
          <w:tcPr>
            <w:tcW w:w="3337" w:type="dxa"/>
            <w:vMerge w:val="restart"/>
            <w:vAlign w:val="center"/>
          </w:tcPr>
          <w:p>
            <w:pPr>
              <w:spacing w:line="240" w:lineRule="auto"/>
              <w:ind w:firstLine="0" w:firstLineChars="0"/>
              <w:jc w:val="center"/>
              <w:rPr>
                <w:rFonts w:hint="default" w:ascii="Times New Roman" w:hAnsi="Times New Roman" w:cs="Times New Roman"/>
                <w:b/>
                <w:color w:val="auto"/>
                <w:sz w:val="24"/>
              </w:rPr>
            </w:pPr>
            <w:r>
              <w:rPr>
                <w:rFonts w:hint="default" w:ascii="Times New Roman" w:hAnsi="Times New Roman" w:cs="Times New Roman"/>
                <w:b/>
                <w:color w:val="auto"/>
                <w:sz w:val="24"/>
              </w:rPr>
              <w:t>单位名称</w:t>
            </w:r>
          </w:p>
        </w:tc>
        <w:tc>
          <w:tcPr>
            <w:tcW w:w="2805" w:type="dxa"/>
            <w:gridSpan w:val="2"/>
            <w:vAlign w:val="center"/>
          </w:tcPr>
          <w:p>
            <w:pPr>
              <w:spacing w:line="240" w:lineRule="auto"/>
              <w:ind w:firstLine="0" w:firstLineChars="0"/>
              <w:jc w:val="center"/>
              <w:rPr>
                <w:rFonts w:hint="default" w:ascii="Times New Roman" w:hAnsi="Times New Roman" w:cs="Times New Roman"/>
                <w:b/>
                <w:color w:val="auto"/>
                <w:sz w:val="24"/>
              </w:rPr>
            </w:pPr>
            <w:r>
              <w:rPr>
                <w:rFonts w:hint="default" w:ascii="Times New Roman" w:hAnsi="Times New Roman" w:cs="Times New Roman"/>
                <w:b/>
                <w:color w:val="auto"/>
                <w:sz w:val="24"/>
              </w:rPr>
              <w:t>监测结果（μSv/h）</w:t>
            </w:r>
          </w:p>
        </w:tc>
        <w:tc>
          <w:tcPr>
            <w:tcW w:w="2286" w:type="dxa"/>
            <w:vMerge w:val="restart"/>
            <w:vAlign w:val="center"/>
          </w:tcPr>
          <w:p>
            <w:pPr>
              <w:spacing w:line="240" w:lineRule="auto"/>
              <w:ind w:firstLine="0" w:firstLineChars="0"/>
              <w:jc w:val="center"/>
              <w:rPr>
                <w:rFonts w:hint="default" w:ascii="Times New Roman" w:hAnsi="Times New Roman" w:eastAsia="仿宋" w:cs="Times New Roman"/>
                <w:b/>
                <w:color w:val="auto"/>
                <w:sz w:val="24"/>
                <w:lang w:eastAsia="zh-CN"/>
              </w:rPr>
            </w:pPr>
            <w:r>
              <w:rPr>
                <w:rFonts w:hint="default" w:ascii="Times New Roman" w:hAnsi="Times New Roman" w:cs="Times New Roman"/>
                <w:b/>
                <w:color w:val="auto"/>
                <w:sz w:val="24"/>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19" w:type="dxa"/>
            <w:vMerge w:val="continue"/>
            <w:vAlign w:val="center"/>
          </w:tcPr>
          <w:p>
            <w:pPr>
              <w:spacing w:line="240" w:lineRule="auto"/>
              <w:ind w:firstLine="0" w:firstLineChars="0"/>
              <w:jc w:val="center"/>
              <w:rPr>
                <w:rFonts w:hint="default" w:ascii="Times New Roman" w:hAnsi="Times New Roman" w:cs="Times New Roman"/>
                <w:color w:val="auto"/>
              </w:rPr>
            </w:pPr>
          </w:p>
        </w:tc>
        <w:tc>
          <w:tcPr>
            <w:tcW w:w="3337" w:type="dxa"/>
            <w:vMerge w:val="continue"/>
            <w:vAlign w:val="center"/>
          </w:tcPr>
          <w:p>
            <w:pPr>
              <w:spacing w:line="240" w:lineRule="auto"/>
              <w:ind w:firstLine="0" w:firstLineChars="0"/>
              <w:jc w:val="center"/>
              <w:rPr>
                <w:rFonts w:hint="default" w:ascii="Times New Roman" w:hAnsi="Times New Roman" w:cs="Times New Roman"/>
                <w:color w:val="auto"/>
              </w:rPr>
            </w:pPr>
          </w:p>
        </w:tc>
        <w:tc>
          <w:tcPr>
            <w:tcW w:w="1365" w:type="dxa"/>
            <w:vAlign w:val="center"/>
          </w:tcPr>
          <w:p>
            <w:pPr>
              <w:spacing w:line="240" w:lineRule="auto"/>
              <w:ind w:firstLine="0" w:firstLineChars="0"/>
              <w:jc w:val="center"/>
              <w:rPr>
                <w:rFonts w:hint="default" w:ascii="Times New Roman" w:hAnsi="Times New Roman" w:eastAsia="仿宋" w:cs="Times New Roman"/>
                <w:b/>
                <w:color w:val="auto"/>
                <w:sz w:val="24"/>
                <w:lang w:val="en-US" w:eastAsia="zh-CN"/>
              </w:rPr>
            </w:pPr>
            <w:r>
              <w:rPr>
                <w:rFonts w:hint="default" w:ascii="Times New Roman" w:hAnsi="Times New Roman" w:cs="Times New Roman"/>
                <w:b/>
                <w:color w:val="auto"/>
                <w:sz w:val="24"/>
                <w:lang w:val="en-US" w:eastAsia="zh-CN"/>
              </w:rPr>
              <w:t>5 cm</w:t>
            </w:r>
          </w:p>
        </w:tc>
        <w:tc>
          <w:tcPr>
            <w:tcW w:w="1440" w:type="dxa"/>
            <w:vAlign w:val="center"/>
          </w:tcPr>
          <w:p>
            <w:pPr>
              <w:spacing w:line="240" w:lineRule="auto"/>
              <w:ind w:firstLine="0" w:firstLineChars="0"/>
              <w:jc w:val="center"/>
              <w:rPr>
                <w:rFonts w:hint="default" w:ascii="Times New Roman" w:hAnsi="Times New Roman" w:eastAsia="仿宋" w:cs="Times New Roman"/>
                <w:b/>
                <w:color w:val="auto"/>
                <w:sz w:val="24"/>
                <w:lang w:val="en-US" w:eastAsia="zh-CN"/>
              </w:rPr>
            </w:pPr>
            <w:r>
              <w:rPr>
                <w:rFonts w:hint="default" w:ascii="Times New Roman" w:hAnsi="Times New Roman" w:cs="Times New Roman"/>
                <w:b/>
                <w:color w:val="auto"/>
                <w:sz w:val="24"/>
                <w:lang w:val="en-US" w:eastAsia="zh-CN"/>
              </w:rPr>
              <w:t>100 cm</w:t>
            </w:r>
          </w:p>
        </w:tc>
        <w:tc>
          <w:tcPr>
            <w:tcW w:w="2286" w:type="dxa"/>
            <w:vMerge w:val="continue"/>
            <w:vAlign w:val="center"/>
          </w:tcPr>
          <w:p>
            <w:pPr>
              <w:spacing w:line="240" w:lineRule="auto"/>
              <w:ind w:firstLine="0" w:firstLineChars="0"/>
              <w:jc w:val="center"/>
              <w:rPr>
                <w:rFonts w:hint="default" w:ascii="Times New Roman" w:hAnsi="Times New Roman" w:cs="Times New Roman"/>
                <w:b/>
                <w:color w:val="auto"/>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9" w:type="dxa"/>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i w:val="0"/>
                <w:iCs w:val="0"/>
                <w:color w:val="auto"/>
                <w:kern w:val="0"/>
                <w:sz w:val="24"/>
                <w:szCs w:val="24"/>
                <w:u w:val="none"/>
                <w:lang w:val="en-US" w:eastAsia="zh-CN" w:bidi="ar"/>
              </w:rPr>
            </w:pPr>
            <w:bookmarkStart w:id="46" w:name="OLE_LINK1" w:colFirst="1" w:colLast="3"/>
            <w:r>
              <w:rPr>
                <w:rFonts w:hint="default" w:ascii="Times New Roman" w:hAnsi="Times New Roman" w:eastAsia="仿宋" w:cs="Times New Roman"/>
                <w:i w:val="0"/>
                <w:iCs w:val="0"/>
                <w:color w:val="auto"/>
                <w:kern w:val="0"/>
                <w:sz w:val="24"/>
                <w:szCs w:val="24"/>
                <w:u w:val="none"/>
                <w:lang w:val="en-US" w:eastAsia="zh-CN" w:bidi="ar"/>
              </w:rPr>
              <w:t>1</w:t>
            </w:r>
          </w:p>
        </w:tc>
        <w:tc>
          <w:tcPr>
            <w:tcW w:w="3337" w:type="dxa"/>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中盐银港湖北人造板有限公司</w:t>
            </w:r>
          </w:p>
        </w:tc>
        <w:tc>
          <w:tcPr>
            <w:tcW w:w="1365" w:type="dxa"/>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cs="Times New Roman"/>
                <w:i w:val="0"/>
                <w:iCs w:val="0"/>
                <w:color w:val="auto"/>
                <w:kern w:val="0"/>
                <w:sz w:val="24"/>
                <w:szCs w:val="24"/>
                <w:u w:val="none"/>
                <w:lang w:val="en-US" w:eastAsia="zh-CN" w:bidi="ar"/>
              </w:rPr>
              <w:t>/</w:t>
            </w:r>
          </w:p>
        </w:tc>
        <w:tc>
          <w:tcPr>
            <w:tcW w:w="1440" w:type="dxa"/>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cs="Times New Roman"/>
                <w:i w:val="0"/>
                <w:iCs w:val="0"/>
                <w:color w:val="auto"/>
                <w:kern w:val="0"/>
                <w:sz w:val="24"/>
                <w:szCs w:val="24"/>
                <w:u w:val="none"/>
                <w:lang w:val="en-US" w:eastAsia="zh-CN" w:bidi="ar"/>
              </w:rPr>
              <w:t>/</w:t>
            </w:r>
          </w:p>
        </w:tc>
        <w:tc>
          <w:tcPr>
            <w:tcW w:w="2286"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both"/>
              <w:textAlignment w:val="center"/>
              <w:rPr>
                <w:rFonts w:hint="default" w:ascii="Times New Roman" w:hAnsi="Times New Roman" w:eastAsia="仿宋" w:cs="Times New Roman"/>
                <w:b w:val="0"/>
                <w:bCs w:val="0"/>
                <w:i w:val="0"/>
                <w:iCs w:val="0"/>
                <w:color w:val="auto"/>
                <w:kern w:val="0"/>
                <w:sz w:val="24"/>
                <w:szCs w:val="24"/>
                <w:u w:val="none"/>
                <w:lang w:val="en-US" w:eastAsia="zh-CN" w:bidi="ar"/>
              </w:rPr>
            </w:pPr>
            <w:r>
              <w:rPr>
                <w:rFonts w:hint="default" w:ascii="Times New Roman" w:hAnsi="Times New Roman" w:eastAsia="仿宋" w:cs="Times New Roman"/>
                <w:b w:val="0"/>
                <w:bCs w:val="0"/>
                <w:i w:val="0"/>
                <w:iCs w:val="0"/>
                <w:color w:val="auto"/>
                <w:kern w:val="0"/>
                <w:sz w:val="24"/>
                <w:szCs w:val="24"/>
                <w:u w:val="none"/>
                <w:lang w:val="en-US" w:eastAsia="zh-CN" w:bidi="ar"/>
              </w:rPr>
              <w:t>周围剂量</w:t>
            </w:r>
            <w:r>
              <w:rPr>
                <w:rFonts w:hint="eastAsia" w:ascii="Times New Roman" w:hAnsi="Times New Roman" w:cs="Times New Roman"/>
                <w:b w:val="0"/>
                <w:bCs w:val="0"/>
                <w:i w:val="0"/>
                <w:iCs w:val="0"/>
                <w:color w:val="auto"/>
                <w:kern w:val="0"/>
                <w:sz w:val="24"/>
                <w:szCs w:val="24"/>
                <w:u w:val="none"/>
                <w:lang w:val="en-US" w:eastAsia="zh-CN" w:bidi="ar"/>
              </w:rPr>
              <w:t>率范围值</w:t>
            </w:r>
            <w:r>
              <w:rPr>
                <w:rFonts w:hint="default" w:ascii="Times New Roman" w:hAnsi="Times New Roman" w:eastAsia="仿宋" w:cs="Times New Roman"/>
                <w:b w:val="0"/>
                <w:bCs w:val="0"/>
                <w:i w:val="0"/>
                <w:iCs w:val="0"/>
                <w:color w:val="auto"/>
                <w:kern w:val="0"/>
                <w:sz w:val="24"/>
                <w:szCs w:val="24"/>
                <w:u w:val="none"/>
                <w:lang w:val="en-US" w:eastAsia="zh-CN" w:bidi="ar"/>
              </w:rPr>
              <w:t>为0.055~0.080</w:t>
            </w:r>
            <w:r>
              <w:rPr>
                <w:rFonts w:hint="default" w:ascii="Times New Roman" w:hAnsi="Times New Roman" w:eastAsia="仿宋" w:cs="Times New Roman"/>
                <w:b w:val="0"/>
                <w:bCs w:val="0"/>
                <w:color w:val="auto"/>
                <w:sz w:val="24"/>
              </w:rPr>
              <w:t>μSv/h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9" w:type="dxa"/>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2</w:t>
            </w:r>
          </w:p>
        </w:tc>
        <w:tc>
          <w:tcPr>
            <w:tcW w:w="3337" w:type="dxa"/>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广水华鑫冶金工业有限公司</w:t>
            </w:r>
          </w:p>
        </w:tc>
        <w:tc>
          <w:tcPr>
            <w:tcW w:w="1365" w:type="dxa"/>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w:t>
            </w:r>
          </w:p>
        </w:tc>
        <w:tc>
          <w:tcPr>
            <w:tcW w:w="1440" w:type="dxa"/>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0.166~0.225</w:t>
            </w:r>
          </w:p>
        </w:tc>
        <w:tc>
          <w:tcPr>
            <w:tcW w:w="228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default" w:ascii="Times New Roman" w:hAnsi="Times New Roman" w:eastAsia="仿宋" w:cs="Times New Roman"/>
                <w:i w:val="0"/>
                <w:iCs w:val="0"/>
                <w:color w:val="auto"/>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9" w:type="dxa"/>
            <w:vAlign w:val="center"/>
          </w:tcPr>
          <w:p>
            <w:pPr>
              <w:spacing w:line="240" w:lineRule="auto"/>
              <w:ind w:firstLine="0" w:firstLineChars="0"/>
              <w:jc w:val="center"/>
              <w:rPr>
                <w:rFonts w:hint="default" w:ascii="Times New Roman" w:hAnsi="Times New Roman" w:eastAsia="仿宋" w:cs="Times New Roman"/>
                <w:color w:val="auto"/>
                <w:sz w:val="24"/>
                <w:szCs w:val="24"/>
                <w:lang w:eastAsia="zh-CN"/>
              </w:rPr>
            </w:pPr>
            <w:r>
              <w:rPr>
                <w:rFonts w:hint="default" w:ascii="Times New Roman" w:hAnsi="Times New Roman" w:eastAsia="仿宋" w:cs="Times New Roman"/>
                <w:color w:val="auto"/>
                <w:sz w:val="24"/>
                <w:szCs w:val="24"/>
                <w:lang w:val="en-US" w:eastAsia="zh-CN"/>
              </w:rPr>
              <w:t>3</w:t>
            </w:r>
          </w:p>
        </w:tc>
        <w:tc>
          <w:tcPr>
            <w:tcW w:w="3337" w:type="dxa"/>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color w:val="auto"/>
                <w:sz w:val="24"/>
                <w:szCs w:val="24"/>
              </w:rPr>
            </w:pPr>
            <w:r>
              <w:rPr>
                <w:rFonts w:hint="default" w:ascii="Times New Roman" w:hAnsi="Times New Roman" w:eastAsia="仿宋" w:cs="Times New Roman"/>
                <w:i w:val="0"/>
                <w:iCs w:val="0"/>
                <w:color w:val="auto"/>
                <w:kern w:val="0"/>
                <w:sz w:val="24"/>
                <w:szCs w:val="24"/>
                <w:u w:val="none"/>
                <w:lang w:val="en-US" w:eastAsia="zh-CN" w:bidi="ar"/>
              </w:rPr>
              <w:t>湖北雅都恒兴纸业有限公司</w:t>
            </w:r>
          </w:p>
        </w:tc>
        <w:tc>
          <w:tcPr>
            <w:tcW w:w="1365" w:type="dxa"/>
            <w:vAlign w:val="center"/>
          </w:tcPr>
          <w:p>
            <w:pPr>
              <w:widowControl/>
              <w:spacing w:line="240" w:lineRule="auto"/>
              <w:ind w:firstLine="0" w:firstLineChars="0"/>
              <w:jc w:val="center"/>
              <w:textAlignment w:val="center"/>
              <w:rPr>
                <w:rFonts w:hint="default" w:ascii="Times New Roman" w:hAnsi="Times New Roman" w:eastAsia="仿宋" w:cs="Times New Roman"/>
                <w:color w:val="auto"/>
                <w:sz w:val="24"/>
                <w:szCs w:val="24"/>
                <w:lang w:val="en-US" w:eastAsia="zh-CN"/>
              </w:rPr>
            </w:pPr>
            <w:r>
              <w:rPr>
                <w:rFonts w:hint="default" w:ascii="Times New Roman" w:hAnsi="Times New Roman" w:eastAsia="仿宋" w:cs="Times New Roman"/>
                <w:color w:val="auto"/>
                <w:sz w:val="24"/>
                <w:szCs w:val="24"/>
                <w:lang w:val="en-US" w:eastAsia="zh-CN"/>
              </w:rPr>
              <w:t>0.293~3.49</w:t>
            </w:r>
          </w:p>
        </w:tc>
        <w:tc>
          <w:tcPr>
            <w:tcW w:w="1440" w:type="dxa"/>
            <w:vAlign w:val="center"/>
          </w:tcPr>
          <w:p>
            <w:pPr>
              <w:widowControl/>
              <w:spacing w:line="240" w:lineRule="auto"/>
              <w:ind w:firstLine="0" w:firstLineChars="0"/>
              <w:jc w:val="center"/>
              <w:textAlignment w:val="center"/>
              <w:rPr>
                <w:rFonts w:hint="default" w:ascii="Times New Roman" w:hAnsi="Times New Roman" w:eastAsia="仿宋" w:cs="Times New Roman"/>
                <w:color w:val="auto"/>
                <w:sz w:val="24"/>
                <w:szCs w:val="24"/>
                <w:lang w:val="en-US" w:eastAsia="zh-CN"/>
              </w:rPr>
            </w:pPr>
            <w:r>
              <w:rPr>
                <w:rFonts w:hint="default" w:ascii="Times New Roman" w:hAnsi="Times New Roman" w:eastAsia="仿宋" w:cs="Times New Roman"/>
                <w:color w:val="auto"/>
                <w:sz w:val="24"/>
                <w:szCs w:val="24"/>
                <w:lang w:val="en-US" w:eastAsia="zh-CN"/>
              </w:rPr>
              <w:t>0.113~0.347</w:t>
            </w:r>
          </w:p>
        </w:tc>
        <w:tc>
          <w:tcPr>
            <w:tcW w:w="2286"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hint="default" w:ascii="Times New Roman" w:hAnsi="Times New Roman" w:eastAsia="仿宋" w:cs="Times New Roman"/>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9" w:type="dxa"/>
            <w:vAlign w:val="center"/>
          </w:tcPr>
          <w:p>
            <w:pPr>
              <w:spacing w:line="240" w:lineRule="auto"/>
              <w:ind w:firstLine="0" w:firstLineChars="0"/>
              <w:jc w:val="center"/>
              <w:rPr>
                <w:rFonts w:hint="default" w:ascii="Times New Roman" w:hAnsi="Times New Roman" w:eastAsia="仿宋" w:cs="Times New Roman"/>
                <w:color w:val="auto"/>
                <w:sz w:val="24"/>
                <w:szCs w:val="24"/>
                <w:lang w:eastAsia="zh-CN"/>
              </w:rPr>
            </w:pPr>
            <w:r>
              <w:rPr>
                <w:rFonts w:hint="default" w:ascii="Times New Roman" w:hAnsi="Times New Roman" w:eastAsia="仿宋" w:cs="Times New Roman"/>
                <w:color w:val="auto"/>
                <w:sz w:val="24"/>
                <w:szCs w:val="24"/>
                <w:lang w:val="en-US" w:eastAsia="zh-CN"/>
              </w:rPr>
              <w:t>4</w:t>
            </w:r>
          </w:p>
        </w:tc>
        <w:tc>
          <w:tcPr>
            <w:tcW w:w="3337" w:type="dxa"/>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color w:val="auto"/>
                <w:sz w:val="24"/>
                <w:szCs w:val="24"/>
              </w:rPr>
            </w:pPr>
            <w:r>
              <w:rPr>
                <w:rFonts w:hint="default" w:ascii="Times New Roman" w:hAnsi="Times New Roman" w:eastAsia="仿宋" w:cs="Times New Roman"/>
                <w:i w:val="0"/>
                <w:iCs w:val="0"/>
                <w:color w:val="auto"/>
                <w:kern w:val="0"/>
                <w:sz w:val="24"/>
                <w:szCs w:val="24"/>
                <w:u w:val="none"/>
                <w:lang w:val="en-US" w:eastAsia="zh-CN" w:bidi="ar"/>
              </w:rPr>
              <w:t>随州市永兴再生纸业有限公司</w:t>
            </w:r>
          </w:p>
        </w:tc>
        <w:tc>
          <w:tcPr>
            <w:tcW w:w="1365" w:type="dxa"/>
            <w:vAlign w:val="center"/>
          </w:tcPr>
          <w:p>
            <w:pPr>
              <w:widowControl/>
              <w:spacing w:line="240" w:lineRule="auto"/>
              <w:ind w:firstLine="0" w:firstLineChars="0"/>
              <w:jc w:val="center"/>
              <w:textAlignment w:val="center"/>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0.509~1.24</w:t>
            </w:r>
          </w:p>
        </w:tc>
        <w:tc>
          <w:tcPr>
            <w:tcW w:w="1440" w:type="dxa"/>
            <w:vAlign w:val="center"/>
          </w:tcPr>
          <w:p>
            <w:pPr>
              <w:widowControl/>
              <w:spacing w:line="240" w:lineRule="auto"/>
              <w:ind w:firstLine="0" w:firstLineChars="0"/>
              <w:jc w:val="center"/>
              <w:textAlignment w:val="center"/>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0.119~0.189</w:t>
            </w:r>
          </w:p>
        </w:tc>
        <w:tc>
          <w:tcPr>
            <w:tcW w:w="2286"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hint="default" w:ascii="Times New Roman" w:hAnsi="Times New Roman" w:eastAsia="仿宋" w:cs="Times New Roman"/>
                <w:color w:val="auto"/>
                <w:sz w:val="24"/>
                <w:szCs w:val="24"/>
              </w:rPr>
            </w:pPr>
          </w:p>
        </w:tc>
      </w:tr>
      <w:bookmarkEnd w:id="46"/>
    </w:tbl>
    <w:p>
      <w:pPr>
        <w:ind w:firstLine="480"/>
        <w:rPr>
          <w:rFonts w:hint="default" w:ascii="Times New Roman" w:hAnsi="Times New Roman" w:cs="Times New Roman"/>
          <w:color w:val="auto"/>
          <w:sz w:val="24"/>
          <w:szCs w:val="22"/>
        </w:rPr>
      </w:pPr>
      <w:r>
        <w:rPr>
          <w:rFonts w:hint="default" w:ascii="Times New Roman" w:hAnsi="Times New Roman" w:cs="Times New Roman"/>
          <w:color w:val="auto"/>
          <w:sz w:val="24"/>
          <w:szCs w:val="22"/>
        </w:rPr>
        <w:t>注：“</w:t>
      </w:r>
      <w:r>
        <w:rPr>
          <w:rFonts w:hint="default" w:ascii="Times New Roman" w:hAnsi="Times New Roman" w:cs="Times New Roman"/>
          <w:color w:val="auto"/>
          <w:sz w:val="24"/>
          <w:szCs w:val="22"/>
          <w:lang w:val="en-US" w:eastAsia="zh-CN"/>
        </w:rPr>
        <w:t>/</w:t>
      </w:r>
      <w:r>
        <w:rPr>
          <w:rFonts w:hint="default" w:ascii="Times New Roman" w:hAnsi="Times New Roman" w:cs="Times New Roman"/>
          <w:color w:val="auto"/>
          <w:sz w:val="24"/>
          <w:szCs w:val="22"/>
        </w:rPr>
        <w:t>”表示该单位放射源5cm</w:t>
      </w:r>
      <w:r>
        <w:rPr>
          <w:rFonts w:hint="default" w:ascii="Times New Roman" w:hAnsi="Times New Roman" w:cs="Times New Roman"/>
          <w:color w:val="auto"/>
          <w:sz w:val="24"/>
          <w:szCs w:val="22"/>
          <w:lang w:eastAsia="zh-CN"/>
        </w:rPr>
        <w:t>或</w:t>
      </w:r>
      <w:r>
        <w:rPr>
          <w:rFonts w:hint="default" w:ascii="Times New Roman" w:hAnsi="Times New Roman" w:cs="Times New Roman"/>
          <w:color w:val="auto"/>
          <w:sz w:val="24"/>
          <w:szCs w:val="22"/>
          <w:lang w:val="en-US" w:eastAsia="zh-CN"/>
        </w:rPr>
        <w:t>1</w:t>
      </w:r>
      <w:r>
        <w:rPr>
          <w:rFonts w:hint="eastAsia" w:ascii="Times New Roman" w:hAnsi="Times New Roman" w:cs="Times New Roman"/>
          <w:color w:val="auto"/>
          <w:sz w:val="24"/>
          <w:szCs w:val="22"/>
          <w:lang w:val="en-US" w:eastAsia="zh-CN"/>
        </w:rPr>
        <w:t>00cm</w:t>
      </w:r>
      <w:r>
        <w:rPr>
          <w:rFonts w:hint="default" w:ascii="Times New Roman" w:hAnsi="Times New Roman" w:cs="Times New Roman"/>
          <w:color w:val="auto"/>
          <w:sz w:val="24"/>
          <w:szCs w:val="22"/>
        </w:rPr>
        <w:t>处无法到达。</w:t>
      </w:r>
    </w:p>
    <w:p>
      <w:pPr>
        <w:pStyle w:val="5"/>
        <w:ind w:left="0" w:leftChars="0" w:firstLine="0" w:firstLineChars="0"/>
        <w:rPr>
          <w:rFonts w:hint="default" w:ascii="Times New Roman" w:hAnsi="Times New Roman" w:cs="Times New Roman"/>
          <w:color w:val="auto"/>
        </w:rPr>
      </w:pPr>
      <w:bookmarkStart w:id="47" w:name="_Toc28762"/>
      <w:r>
        <w:rPr>
          <w:rFonts w:hint="default" w:ascii="Times New Roman" w:hAnsi="Times New Roman" w:cs="Times New Roman"/>
          <w:color w:val="auto"/>
        </w:rPr>
        <w:t>6.1.</w:t>
      </w:r>
      <w:r>
        <w:rPr>
          <w:rFonts w:hint="default" w:ascii="Times New Roman" w:hAnsi="Times New Roman" w:cs="Times New Roman"/>
          <w:color w:val="auto"/>
          <w:lang w:val="en-US" w:eastAsia="zh-CN"/>
        </w:rPr>
        <w:t>2</w:t>
      </w:r>
      <w:r>
        <w:rPr>
          <w:rFonts w:hint="default" w:ascii="Times New Roman" w:hAnsi="Times New Roman" w:cs="Times New Roman"/>
          <w:color w:val="auto"/>
        </w:rPr>
        <w:t>射线装置核技术利用单位</w:t>
      </w:r>
      <w:bookmarkEnd w:id="47"/>
    </w:p>
    <w:p>
      <w:pPr>
        <w:ind w:firstLine="560"/>
        <w:rPr>
          <w:rFonts w:hint="default" w:ascii="Times New Roman" w:hAnsi="Times New Roman" w:cs="Times New Roman"/>
          <w:color w:val="auto"/>
        </w:rPr>
      </w:pPr>
      <w:r>
        <w:rPr>
          <w:rFonts w:hint="default" w:ascii="Times New Roman" w:hAnsi="Times New Roman" w:cs="Times New Roman"/>
          <w:color w:val="auto"/>
        </w:rPr>
        <w:t>本次共完成了</w:t>
      </w:r>
      <w:r>
        <w:rPr>
          <w:rFonts w:hint="default" w:ascii="Times New Roman" w:hAnsi="Times New Roman" w:cs="Times New Roman"/>
          <w:color w:val="auto"/>
          <w:lang w:val="en-US" w:eastAsia="zh-CN"/>
        </w:rPr>
        <w:t>10</w:t>
      </w:r>
      <w:r>
        <w:rPr>
          <w:rFonts w:hint="default" w:ascii="Times New Roman" w:hAnsi="Times New Roman" w:cs="Times New Roman"/>
          <w:color w:val="auto"/>
        </w:rPr>
        <w:t>家使用</w:t>
      </w:r>
      <w:r>
        <w:rPr>
          <w:rFonts w:hint="default" w:ascii="Times New Roman" w:hAnsi="Times New Roman" w:cs="Times New Roman"/>
          <w:color w:val="auto"/>
          <w:lang w:eastAsia="zh-CN"/>
        </w:rPr>
        <w:t>Ⅱ、Ⅲ类</w:t>
      </w:r>
      <w:r>
        <w:rPr>
          <w:rFonts w:hint="default" w:ascii="Times New Roman" w:hAnsi="Times New Roman" w:cs="Times New Roman"/>
          <w:color w:val="auto"/>
        </w:rPr>
        <w:t>射线装置核技术利用单位的辐射环境监测工作</w:t>
      </w:r>
      <w:r>
        <w:rPr>
          <w:rFonts w:hint="default" w:ascii="Times New Roman" w:hAnsi="Times New Roman" w:cs="Times New Roman"/>
          <w:color w:val="auto"/>
          <w:lang w:eastAsia="zh-CN"/>
        </w:rPr>
        <w:t>，共检测射线装置</w:t>
      </w:r>
      <w:r>
        <w:rPr>
          <w:rFonts w:hint="default" w:ascii="Times New Roman" w:hAnsi="Times New Roman" w:cs="Times New Roman"/>
          <w:color w:val="auto"/>
          <w:lang w:val="en-US" w:eastAsia="zh-CN"/>
        </w:rPr>
        <w:t>29台</w:t>
      </w:r>
      <w:r>
        <w:rPr>
          <w:rFonts w:hint="default" w:ascii="Times New Roman" w:hAnsi="Times New Roman" w:cs="Times New Roman"/>
          <w:color w:val="auto"/>
        </w:rPr>
        <w:t>。</w:t>
      </w:r>
    </w:p>
    <w:p>
      <w:pPr>
        <w:ind w:firstLine="560"/>
        <w:rPr>
          <w:rFonts w:hint="default" w:ascii="Times New Roman" w:hAnsi="Times New Roman" w:cs="Times New Roman"/>
          <w:color w:val="auto"/>
        </w:rPr>
      </w:pPr>
      <w:r>
        <w:rPr>
          <w:rFonts w:hint="default" w:ascii="Times New Roman" w:hAnsi="Times New Roman" w:cs="Times New Roman"/>
          <w:color w:val="auto"/>
        </w:rPr>
        <w:t>本次监测结果根据标准要求的限值不同分为两类，一类为短时摄影类（DR），其标准限值为不大于25μSv/h，另一类为其他类，其标准限值为不大于2.5μSv/h，其他类设备类型有CT机、乳腺摄影、口内牙片摄影、牙科全景摄影、牙科全景头颅摄影、具有透视功能的X射线设备、工业探伤机、荧光分析仪。本次</w:t>
      </w:r>
      <w:r>
        <w:rPr>
          <w:rFonts w:hint="default" w:ascii="Times New Roman" w:hAnsi="Times New Roman" w:cs="Times New Roman"/>
          <w:color w:val="auto"/>
          <w:lang w:val="en-US" w:eastAsia="zh-CN"/>
        </w:rPr>
        <w:t>10</w:t>
      </w:r>
      <w:r>
        <w:rPr>
          <w:rFonts w:hint="default" w:ascii="Times New Roman" w:hAnsi="Times New Roman" w:cs="Times New Roman"/>
          <w:color w:val="auto"/>
        </w:rPr>
        <w:t>家使用射线装置核技术利用单位的辐射环境监测结果见表6-2。</w:t>
      </w:r>
    </w:p>
    <w:p>
      <w:pPr>
        <w:ind w:firstLine="0" w:firstLineChars="0"/>
        <w:jc w:val="center"/>
        <w:rPr>
          <w:rFonts w:hint="default" w:ascii="Times New Roman" w:hAnsi="Times New Roman" w:cs="Times New Roman"/>
          <w:color w:val="auto"/>
        </w:rPr>
      </w:pPr>
      <w:r>
        <w:rPr>
          <w:rFonts w:hint="default" w:ascii="Times New Roman" w:hAnsi="Times New Roman" w:eastAsia="黑体" w:cs="Times New Roman"/>
          <w:color w:val="auto"/>
          <w:sz w:val="24"/>
        </w:rPr>
        <w:t>表6-2 使用</w:t>
      </w:r>
      <w:r>
        <w:rPr>
          <w:rFonts w:hint="default" w:ascii="Times New Roman" w:hAnsi="Times New Roman" w:eastAsia="黑体" w:cs="Times New Roman"/>
          <w:color w:val="auto"/>
          <w:sz w:val="24"/>
          <w:lang w:val="en-US" w:eastAsia="zh-CN"/>
        </w:rPr>
        <w:t>II类</w:t>
      </w:r>
      <w:r>
        <w:rPr>
          <w:rFonts w:hint="default" w:ascii="Times New Roman" w:hAnsi="Times New Roman" w:eastAsia="黑体" w:cs="Times New Roman"/>
          <w:color w:val="auto"/>
          <w:sz w:val="24"/>
        </w:rPr>
        <w:t>射线装置核技术利用单位监测结果一览表</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4"/>
        <w:gridCol w:w="4029"/>
        <w:gridCol w:w="2133"/>
        <w:gridCol w:w="16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14" w:type="dxa"/>
            <w:vMerge w:val="restart"/>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color w:val="auto"/>
                <w:sz w:val="24"/>
              </w:rPr>
            </w:pPr>
            <w:r>
              <w:rPr>
                <w:rFonts w:hint="default" w:ascii="Times New Roman" w:hAnsi="Times New Roman" w:cs="Times New Roman"/>
                <w:b/>
                <w:color w:val="auto"/>
                <w:sz w:val="24"/>
              </w:rPr>
              <w:t>序号</w:t>
            </w:r>
          </w:p>
        </w:tc>
        <w:tc>
          <w:tcPr>
            <w:tcW w:w="4029" w:type="dxa"/>
            <w:vMerge w:val="restart"/>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color w:val="auto"/>
                <w:sz w:val="24"/>
              </w:rPr>
            </w:pPr>
            <w:r>
              <w:rPr>
                <w:rFonts w:hint="default" w:ascii="Times New Roman" w:hAnsi="Times New Roman" w:cs="Times New Roman"/>
                <w:b/>
                <w:color w:val="auto"/>
                <w:sz w:val="24"/>
              </w:rPr>
              <w:t>单位名称</w:t>
            </w:r>
          </w:p>
        </w:tc>
        <w:tc>
          <w:tcPr>
            <w:tcW w:w="3779" w:type="dxa"/>
            <w:gridSpan w:val="2"/>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color w:val="auto"/>
                <w:sz w:val="24"/>
              </w:rPr>
            </w:pPr>
            <w:r>
              <w:rPr>
                <w:rFonts w:hint="default" w:ascii="Times New Roman" w:hAnsi="Times New Roman" w:cs="Times New Roman"/>
                <w:b/>
                <w:color w:val="auto"/>
                <w:sz w:val="24"/>
              </w:rPr>
              <w:t>监测结果（μSv/h）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14" w:type="dxa"/>
            <w:vMerge w:val="continue"/>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color w:val="auto"/>
                <w:sz w:val="24"/>
              </w:rPr>
            </w:pPr>
          </w:p>
        </w:tc>
        <w:tc>
          <w:tcPr>
            <w:tcW w:w="4029" w:type="dxa"/>
            <w:vMerge w:val="continue"/>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color w:val="auto"/>
                <w:sz w:val="24"/>
              </w:rPr>
            </w:pPr>
          </w:p>
        </w:tc>
        <w:tc>
          <w:tcPr>
            <w:tcW w:w="2133" w:type="dxa"/>
            <w:vAlign w:val="center"/>
          </w:tcPr>
          <w:p>
            <w:pPr>
              <w:keepNext w:val="0"/>
              <w:keepLines w:val="0"/>
              <w:pageBreakBefore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cs="Times New Roman"/>
                <w:b/>
                <w:color w:val="auto"/>
                <w:sz w:val="24"/>
              </w:rPr>
            </w:pPr>
            <w:r>
              <w:rPr>
                <w:rFonts w:hint="default" w:ascii="Times New Roman" w:hAnsi="Times New Roman" w:cs="Times New Roman"/>
                <w:b/>
                <w:color w:val="auto"/>
                <w:sz w:val="24"/>
              </w:rPr>
              <w:t>短时摄影类（DR）</w:t>
            </w:r>
          </w:p>
        </w:tc>
        <w:tc>
          <w:tcPr>
            <w:tcW w:w="1646" w:type="dxa"/>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color w:val="auto"/>
                <w:sz w:val="24"/>
              </w:rPr>
            </w:pPr>
            <w:r>
              <w:rPr>
                <w:rFonts w:hint="default" w:ascii="Times New Roman" w:hAnsi="Times New Roman" w:eastAsia="宋体" w:cs="Times New Roman"/>
                <w:b/>
                <w:color w:val="auto"/>
                <w:sz w:val="24"/>
              </w:rPr>
              <w:t>其他类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14"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1</w:t>
            </w:r>
          </w:p>
        </w:tc>
        <w:tc>
          <w:tcPr>
            <w:tcW w:w="4029" w:type="dxa"/>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 w:cs="Times New Roman"/>
                <w:color w:val="auto"/>
                <w:sz w:val="24"/>
              </w:rPr>
            </w:pPr>
            <w:r>
              <w:rPr>
                <w:rFonts w:hint="default" w:ascii="Times New Roman" w:hAnsi="Times New Roman" w:eastAsia="仿宋" w:cs="Times New Roman"/>
                <w:color w:val="auto"/>
                <w:sz w:val="24"/>
                <w:lang w:val="en-US" w:eastAsia="zh-CN"/>
              </w:rPr>
              <w:t>随州市中心医院</w:t>
            </w:r>
          </w:p>
        </w:tc>
        <w:tc>
          <w:tcPr>
            <w:tcW w:w="2133"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 w:cs="Times New Roman"/>
                <w:color w:val="auto"/>
                <w:sz w:val="24"/>
                <w:lang w:val="en-US" w:eastAsia="zh-CN"/>
              </w:rPr>
            </w:pPr>
            <w:r>
              <w:rPr>
                <w:rFonts w:hint="default" w:ascii="Times New Roman" w:hAnsi="Times New Roman" w:cs="Times New Roman"/>
                <w:color w:val="auto"/>
                <w:sz w:val="24"/>
                <w:lang w:val="en-US" w:eastAsia="zh-CN"/>
              </w:rPr>
              <w:t>0.126~6.76</w:t>
            </w:r>
          </w:p>
        </w:tc>
        <w:tc>
          <w:tcPr>
            <w:tcW w:w="1646"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 w:cs="Times New Roman"/>
                <w:color w:val="auto"/>
                <w:sz w:val="24"/>
                <w:lang w:val="en-US" w:eastAsia="zh-CN"/>
              </w:rPr>
            </w:pPr>
            <w:r>
              <w:rPr>
                <w:rFonts w:hint="default" w:ascii="Times New Roman" w:hAnsi="Times New Roman" w:cs="Times New Roman"/>
                <w:color w:val="auto"/>
                <w:sz w:val="24"/>
                <w:lang w:val="en-US" w:eastAsia="zh-CN"/>
              </w:rPr>
              <w:t>0.107~23.6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14"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 w:cs="Times New Roman"/>
                <w:color w:val="auto"/>
                <w:sz w:val="24"/>
              </w:rPr>
            </w:pPr>
            <w:r>
              <w:rPr>
                <w:rFonts w:hint="default" w:ascii="Times New Roman" w:hAnsi="Times New Roman" w:eastAsia="仿宋" w:cs="Times New Roman"/>
                <w:color w:val="auto"/>
                <w:sz w:val="24"/>
                <w:lang w:val="en-US" w:eastAsia="zh-CN"/>
              </w:rPr>
              <w:t>2</w:t>
            </w:r>
          </w:p>
        </w:tc>
        <w:tc>
          <w:tcPr>
            <w:tcW w:w="4029" w:type="dxa"/>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 w:cs="Times New Roman"/>
                <w:color w:val="auto"/>
                <w:sz w:val="24"/>
              </w:rPr>
            </w:pPr>
            <w:r>
              <w:rPr>
                <w:rFonts w:hint="default" w:ascii="Times New Roman" w:hAnsi="Times New Roman" w:eastAsia="仿宋" w:cs="Times New Roman"/>
                <w:color w:val="auto"/>
                <w:sz w:val="24"/>
                <w:lang w:val="en-US" w:eastAsia="zh-CN"/>
              </w:rPr>
              <w:t>随州市中医医院</w:t>
            </w:r>
          </w:p>
        </w:tc>
        <w:tc>
          <w:tcPr>
            <w:tcW w:w="2133"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 w:cs="Times New Roman"/>
                <w:color w:val="auto"/>
                <w:sz w:val="24"/>
                <w:lang w:val="en-US" w:eastAsia="zh-CN"/>
              </w:rPr>
            </w:pPr>
            <w:r>
              <w:rPr>
                <w:rFonts w:hint="default" w:ascii="Times New Roman" w:hAnsi="Times New Roman" w:cs="Times New Roman"/>
                <w:color w:val="auto"/>
                <w:sz w:val="24"/>
                <w:lang w:val="en-US" w:eastAsia="zh-CN"/>
              </w:rPr>
              <w:t>0.141~0.169</w:t>
            </w:r>
          </w:p>
        </w:tc>
        <w:tc>
          <w:tcPr>
            <w:tcW w:w="1646"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 w:cs="Times New Roman"/>
                <w:color w:val="auto"/>
                <w:sz w:val="24"/>
                <w:lang w:val="en-US" w:eastAsia="zh-CN"/>
              </w:rPr>
            </w:pPr>
            <w:r>
              <w:rPr>
                <w:rFonts w:hint="default" w:ascii="Times New Roman" w:hAnsi="Times New Roman" w:cs="Times New Roman"/>
                <w:color w:val="auto"/>
                <w:sz w:val="24"/>
                <w:lang w:val="en-US" w:eastAsia="zh-CN"/>
              </w:rPr>
              <w:t>0.139~0.310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14"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 w:cs="Times New Roman"/>
                <w:color w:val="auto"/>
                <w:sz w:val="24"/>
              </w:rPr>
            </w:pPr>
            <w:r>
              <w:rPr>
                <w:rFonts w:hint="default" w:ascii="Times New Roman" w:hAnsi="Times New Roman" w:eastAsia="仿宋" w:cs="Times New Roman"/>
                <w:color w:val="auto"/>
                <w:sz w:val="24"/>
                <w:lang w:val="en-US" w:eastAsia="zh-CN"/>
              </w:rPr>
              <w:t>3</w:t>
            </w:r>
          </w:p>
        </w:tc>
        <w:tc>
          <w:tcPr>
            <w:tcW w:w="4029" w:type="dxa"/>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 w:cs="Times New Roman"/>
                <w:color w:val="auto"/>
                <w:sz w:val="24"/>
              </w:rPr>
            </w:pPr>
            <w:r>
              <w:rPr>
                <w:rFonts w:hint="default" w:ascii="Times New Roman" w:hAnsi="Times New Roman" w:eastAsia="仿宋" w:cs="Times New Roman"/>
                <w:color w:val="auto"/>
                <w:sz w:val="24"/>
                <w:lang w:val="en-US" w:eastAsia="zh-CN"/>
              </w:rPr>
              <w:t>广水市第一人民医院（含二部）</w:t>
            </w:r>
          </w:p>
        </w:tc>
        <w:tc>
          <w:tcPr>
            <w:tcW w:w="2133"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 w:cs="Times New Roman"/>
                <w:color w:val="auto"/>
                <w:sz w:val="24"/>
                <w:lang w:val="en-US" w:eastAsia="zh-CN"/>
              </w:rPr>
            </w:pPr>
            <w:r>
              <w:rPr>
                <w:rFonts w:hint="default" w:ascii="Times New Roman" w:hAnsi="Times New Roman" w:cs="Times New Roman"/>
                <w:color w:val="auto"/>
                <w:sz w:val="24"/>
                <w:lang w:val="en-US" w:eastAsia="zh-CN"/>
              </w:rPr>
              <w:t>0.140~0.263</w:t>
            </w:r>
          </w:p>
        </w:tc>
        <w:tc>
          <w:tcPr>
            <w:tcW w:w="1646"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 w:cs="Times New Roman"/>
                <w:color w:val="auto"/>
                <w:sz w:val="24"/>
                <w:lang w:val="en-US" w:eastAsia="zh-CN"/>
              </w:rPr>
            </w:pPr>
            <w:r>
              <w:rPr>
                <w:rFonts w:hint="default" w:ascii="Times New Roman" w:hAnsi="Times New Roman" w:cs="Times New Roman"/>
                <w:color w:val="auto"/>
                <w:sz w:val="24"/>
                <w:lang w:val="en-US" w:eastAsia="zh-CN"/>
              </w:rPr>
              <w:t>0.124~0.256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14"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 w:cs="Times New Roman"/>
                <w:color w:val="auto"/>
                <w:sz w:val="24"/>
              </w:rPr>
            </w:pPr>
            <w:r>
              <w:rPr>
                <w:rFonts w:hint="default" w:ascii="Times New Roman" w:hAnsi="Times New Roman" w:eastAsia="仿宋" w:cs="Times New Roman"/>
                <w:color w:val="auto"/>
                <w:sz w:val="24"/>
                <w:lang w:val="en-US" w:eastAsia="zh-CN"/>
              </w:rPr>
              <w:t>4</w:t>
            </w:r>
          </w:p>
        </w:tc>
        <w:tc>
          <w:tcPr>
            <w:tcW w:w="4029" w:type="dxa"/>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 w:cs="Times New Roman"/>
                <w:color w:val="auto"/>
                <w:sz w:val="24"/>
              </w:rPr>
            </w:pPr>
            <w:r>
              <w:rPr>
                <w:rFonts w:hint="default" w:ascii="Times New Roman" w:hAnsi="Times New Roman" w:eastAsia="仿宋" w:cs="Times New Roman"/>
                <w:color w:val="auto"/>
                <w:sz w:val="24"/>
                <w:lang w:val="en-US" w:eastAsia="zh-CN"/>
              </w:rPr>
              <w:t>湖北华星汽车制造有限公司</w:t>
            </w:r>
          </w:p>
        </w:tc>
        <w:tc>
          <w:tcPr>
            <w:tcW w:w="2133"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 w:cs="Times New Roman"/>
                <w:color w:val="auto"/>
                <w:sz w:val="24"/>
                <w:lang w:val="en-US" w:eastAsia="zh-CN"/>
              </w:rPr>
            </w:pPr>
            <w:r>
              <w:rPr>
                <w:rFonts w:hint="default" w:ascii="Times New Roman" w:hAnsi="Times New Roman" w:eastAsia="仿宋" w:cs="Times New Roman"/>
                <w:color w:val="auto"/>
                <w:sz w:val="24"/>
                <w:lang w:val="en-US" w:eastAsia="zh-CN"/>
              </w:rPr>
              <w:t>/</w:t>
            </w:r>
          </w:p>
        </w:tc>
        <w:tc>
          <w:tcPr>
            <w:tcW w:w="1646"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0.101~0.373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14"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 w:cs="Times New Roman"/>
                <w:color w:val="auto"/>
                <w:sz w:val="24"/>
              </w:rPr>
            </w:pPr>
            <w:r>
              <w:rPr>
                <w:rFonts w:hint="default" w:ascii="Times New Roman" w:hAnsi="Times New Roman" w:eastAsia="仿宋" w:cs="Times New Roman"/>
                <w:color w:val="auto"/>
                <w:sz w:val="24"/>
                <w:lang w:val="en-US" w:eastAsia="zh-CN"/>
              </w:rPr>
              <w:t>5</w:t>
            </w:r>
          </w:p>
        </w:tc>
        <w:tc>
          <w:tcPr>
            <w:tcW w:w="4029" w:type="dxa"/>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 w:cs="Times New Roman"/>
                <w:color w:val="auto"/>
                <w:sz w:val="24"/>
              </w:rPr>
            </w:pPr>
            <w:r>
              <w:rPr>
                <w:rFonts w:hint="default" w:ascii="Times New Roman" w:hAnsi="Times New Roman" w:eastAsia="仿宋" w:cs="Times New Roman"/>
                <w:color w:val="auto"/>
                <w:sz w:val="24"/>
                <w:lang w:val="en-US" w:eastAsia="zh-CN"/>
              </w:rPr>
              <w:t>玉柴东特专用汽车有限公司</w:t>
            </w:r>
          </w:p>
        </w:tc>
        <w:tc>
          <w:tcPr>
            <w:tcW w:w="2133"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 w:cs="Times New Roman"/>
                <w:color w:val="auto"/>
                <w:sz w:val="24"/>
                <w:lang w:val="en-US" w:eastAsia="zh-CN"/>
              </w:rPr>
            </w:pPr>
            <w:r>
              <w:rPr>
                <w:rFonts w:hint="default" w:ascii="Times New Roman" w:hAnsi="Times New Roman" w:eastAsia="仿宋" w:cs="Times New Roman"/>
                <w:color w:val="auto"/>
                <w:sz w:val="24"/>
                <w:lang w:val="en-US" w:eastAsia="zh-CN"/>
              </w:rPr>
              <w:t>/</w:t>
            </w:r>
          </w:p>
        </w:tc>
        <w:tc>
          <w:tcPr>
            <w:tcW w:w="1646"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0.088~0.154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14"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 w:cs="Times New Roman"/>
                <w:color w:val="auto"/>
                <w:sz w:val="24"/>
              </w:rPr>
            </w:pPr>
            <w:r>
              <w:rPr>
                <w:rFonts w:hint="default" w:ascii="Times New Roman" w:hAnsi="Times New Roman" w:eastAsia="仿宋" w:cs="Times New Roman"/>
                <w:color w:val="auto"/>
                <w:sz w:val="24"/>
                <w:lang w:val="en-US" w:eastAsia="zh-CN"/>
              </w:rPr>
              <w:t>6</w:t>
            </w:r>
          </w:p>
        </w:tc>
        <w:tc>
          <w:tcPr>
            <w:tcW w:w="4029" w:type="dxa"/>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 w:cs="Times New Roman"/>
                <w:color w:val="auto"/>
                <w:sz w:val="24"/>
              </w:rPr>
            </w:pPr>
            <w:r>
              <w:rPr>
                <w:rFonts w:hint="default" w:ascii="Times New Roman" w:hAnsi="Times New Roman" w:eastAsia="仿宋" w:cs="Times New Roman"/>
                <w:color w:val="auto"/>
                <w:sz w:val="24"/>
                <w:lang w:val="en-US" w:eastAsia="zh-CN"/>
              </w:rPr>
              <w:t>湖北楚胜汽车有限公司</w:t>
            </w:r>
          </w:p>
        </w:tc>
        <w:tc>
          <w:tcPr>
            <w:tcW w:w="2133"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 w:cs="Times New Roman"/>
                <w:color w:val="auto"/>
                <w:sz w:val="24"/>
                <w:lang w:eastAsia="zh-CN"/>
              </w:rPr>
            </w:pPr>
            <w:r>
              <w:rPr>
                <w:rFonts w:hint="default" w:ascii="Times New Roman" w:hAnsi="Times New Roman" w:eastAsia="仿宋" w:cs="Times New Roman"/>
                <w:color w:val="auto"/>
                <w:sz w:val="24"/>
                <w:lang w:val="en-US" w:eastAsia="zh-CN"/>
              </w:rPr>
              <w:t>/</w:t>
            </w:r>
          </w:p>
        </w:tc>
        <w:tc>
          <w:tcPr>
            <w:tcW w:w="1646"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0.086~0.328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14"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 w:cs="Times New Roman"/>
                <w:color w:val="auto"/>
                <w:sz w:val="24"/>
              </w:rPr>
            </w:pPr>
            <w:r>
              <w:rPr>
                <w:rFonts w:hint="default" w:ascii="Times New Roman" w:hAnsi="Times New Roman" w:eastAsia="仿宋" w:cs="Times New Roman"/>
                <w:color w:val="auto"/>
                <w:sz w:val="24"/>
                <w:lang w:val="en-US" w:eastAsia="zh-CN"/>
              </w:rPr>
              <w:t>7</w:t>
            </w:r>
          </w:p>
        </w:tc>
        <w:tc>
          <w:tcPr>
            <w:tcW w:w="4029" w:type="dxa"/>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 w:cs="Times New Roman"/>
                <w:color w:val="auto"/>
                <w:sz w:val="24"/>
              </w:rPr>
            </w:pPr>
            <w:r>
              <w:rPr>
                <w:rFonts w:hint="default" w:ascii="Times New Roman" w:hAnsi="Times New Roman" w:eastAsia="仿宋" w:cs="Times New Roman"/>
                <w:color w:val="auto"/>
                <w:sz w:val="24"/>
                <w:lang w:val="en-US" w:eastAsia="zh-CN"/>
              </w:rPr>
              <w:t>湖北齐航安装工程有限公司</w:t>
            </w:r>
          </w:p>
        </w:tc>
        <w:tc>
          <w:tcPr>
            <w:tcW w:w="2133"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 w:cs="Times New Roman"/>
                <w:color w:val="auto"/>
                <w:sz w:val="24"/>
                <w:lang w:eastAsia="zh-CN"/>
              </w:rPr>
            </w:pPr>
            <w:r>
              <w:rPr>
                <w:rFonts w:hint="default" w:ascii="Times New Roman" w:hAnsi="Times New Roman" w:eastAsia="仿宋" w:cs="Times New Roman"/>
                <w:color w:val="auto"/>
                <w:sz w:val="24"/>
                <w:lang w:val="en-US" w:eastAsia="zh-CN"/>
              </w:rPr>
              <w:t>/</w:t>
            </w:r>
          </w:p>
        </w:tc>
        <w:tc>
          <w:tcPr>
            <w:tcW w:w="1646"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0.103~0.311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14"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 w:cs="Times New Roman"/>
                <w:color w:val="auto"/>
                <w:sz w:val="24"/>
              </w:rPr>
            </w:pPr>
            <w:r>
              <w:rPr>
                <w:rFonts w:hint="default" w:ascii="Times New Roman" w:hAnsi="Times New Roman" w:eastAsia="仿宋" w:cs="Times New Roman"/>
                <w:color w:val="auto"/>
                <w:sz w:val="24"/>
                <w:lang w:val="en-US" w:eastAsia="zh-CN"/>
              </w:rPr>
              <w:t>8</w:t>
            </w:r>
          </w:p>
        </w:tc>
        <w:tc>
          <w:tcPr>
            <w:tcW w:w="4029" w:type="dxa"/>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 w:cs="Times New Roman"/>
                <w:color w:val="auto"/>
                <w:sz w:val="24"/>
              </w:rPr>
            </w:pPr>
            <w:r>
              <w:rPr>
                <w:rFonts w:hint="default" w:ascii="Times New Roman" w:hAnsi="Times New Roman" w:eastAsia="仿宋" w:cs="Times New Roman"/>
                <w:color w:val="auto"/>
                <w:sz w:val="24"/>
                <w:lang w:val="en-US" w:eastAsia="zh-CN"/>
              </w:rPr>
              <w:t>湖北成龙威汽车有限公司</w:t>
            </w:r>
          </w:p>
        </w:tc>
        <w:tc>
          <w:tcPr>
            <w:tcW w:w="2133" w:type="dxa"/>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 w:cs="Times New Roman"/>
                <w:color w:val="auto"/>
                <w:sz w:val="24"/>
                <w:lang w:eastAsia="zh-CN"/>
              </w:rPr>
            </w:pPr>
            <w:r>
              <w:rPr>
                <w:rFonts w:hint="default" w:ascii="Times New Roman" w:hAnsi="Times New Roman" w:eastAsia="仿宋" w:cs="Times New Roman"/>
                <w:color w:val="auto"/>
                <w:kern w:val="0"/>
                <w:sz w:val="24"/>
                <w:lang w:val="en-US" w:eastAsia="zh-CN" w:bidi="ar"/>
              </w:rPr>
              <w:t>/</w:t>
            </w:r>
          </w:p>
        </w:tc>
        <w:tc>
          <w:tcPr>
            <w:tcW w:w="1646"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0.110~1.49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14"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 w:cs="Times New Roman"/>
                <w:color w:val="auto"/>
                <w:sz w:val="24"/>
              </w:rPr>
            </w:pPr>
            <w:r>
              <w:rPr>
                <w:rFonts w:hint="default" w:ascii="Times New Roman" w:hAnsi="Times New Roman" w:eastAsia="仿宋" w:cs="Times New Roman"/>
                <w:color w:val="auto"/>
                <w:sz w:val="24"/>
                <w:lang w:val="en-US" w:eastAsia="zh-CN"/>
              </w:rPr>
              <w:t>9</w:t>
            </w:r>
          </w:p>
        </w:tc>
        <w:tc>
          <w:tcPr>
            <w:tcW w:w="4029" w:type="dxa"/>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 w:cs="Times New Roman"/>
                <w:color w:val="auto"/>
                <w:sz w:val="24"/>
              </w:rPr>
            </w:pPr>
            <w:r>
              <w:rPr>
                <w:rFonts w:hint="default" w:ascii="Times New Roman" w:hAnsi="Times New Roman" w:eastAsia="仿宋" w:cs="Times New Roman"/>
                <w:color w:val="auto"/>
                <w:sz w:val="24"/>
                <w:lang w:val="en-US" w:eastAsia="zh-CN"/>
              </w:rPr>
              <w:t>湖北同威汽车配件有限公司</w:t>
            </w:r>
          </w:p>
        </w:tc>
        <w:tc>
          <w:tcPr>
            <w:tcW w:w="2133"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 w:cs="Times New Roman"/>
                <w:color w:val="auto"/>
                <w:sz w:val="24"/>
                <w:lang w:eastAsia="zh-CN"/>
              </w:rPr>
            </w:pPr>
            <w:r>
              <w:rPr>
                <w:rFonts w:hint="default" w:ascii="Times New Roman" w:hAnsi="Times New Roman" w:eastAsia="仿宋" w:cs="Times New Roman"/>
                <w:color w:val="auto"/>
                <w:sz w:val="24"/>
                <w:lang w:val="en-US" w:eastAsia="zh-CN"/>
              </w:rPr>
              <w:t>/</w:t>
            </w:r>
          </w:p>
        </w:tc>
        <w:tc>
          <w:tcPr>
            <w:tcW w:w="1646"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0.093~0.669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14"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 w:cs="Times New Roman"/>
                <w:color w:val="auto"/>
                <w:sz w:val="24"/>
              </w:rPr>
            </w:pPr>
            <w:r>
              <w:rPr>
                <w:rFonts w:hint="default" w:ascii="Times New Roman" w:hAnsi="Times New Roman" w:eastAsia="仿宋" w:cs="Times New Roman"/>
                <w:color w:val="auto"/>
                <w:sz w:val="24"/>
                <w:lang w:val="en-US" w:eastAsia="zh-CN"/>
              </w:rPr>
              <w:t>10</w:t>
            </w:r>
          </w:p>
        </w:tc>
        <w:tc>
          <w:tcPr>
            <w:tcW w:w="4029" w:type="dxa"/>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 w:cs="Times New Roman"/>
                <w:color w:val="auto"/>
                <w:sz w:val="24"/>
              </w:rPr>
            </w:pPr>
            <w:r>
              <w:rPr>
                <w:rFonts w:hint="default" w:ascii="Times New Roman" w:hAnsi="Times New Roman" w:eastAsia="仿宋" w:cs="Times New Roman"/>
                <w:color w:val="auto"/>
                <w:sz w:val="24"/>
                <w:lang w:val="en-US" w:eastAsia="zh-CN"/>
              </w:rPr>
              <w:t>湖北省齐星汽车车身股份有限公司</w:t>
            </w:r>
          </w:p>
        </w:tc>
        <w:tc>
          <w:tcPr>
            <w:tcW w:w="2133"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 w:cs="Times New Roman"/>
                <w:color w:val="auto"/>
                <w:sz w:val="24"/>
                <w:lang w:eastAsia="zh-CN"/>
              </w:rPr>
            </w:pPr>
            <w:r>
              <w:rPr>
                <w:rFonts w:hint="default" w:ascii="Times New Roman" w:hAnsi="Times New Roman" w:eastAsia="仿宋" w:cs="Times New Roman"/>
                <w:color w:val="auto"/>
                <w:sz w:val="24"/>
                <w:lang w:val="en-US" w:eastAsia="zh-CN"/>
              </w:rPr>
              <w:t>/</w:t>
            </w:r>
          </w:p>
        </w:tc>
        <w:tc>
          <w:tcPr>
            <w:tcW w:w="1646"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0.115~1.02</w:t>
            </w:r>
          </w:p>
        </w:tc>
      </w:tr>
    </w:tbl>
    <w:p>
      <w:pPr>
        <w:ind w:firstLine="0" w:firstLineChars="0"/>
        <w:rPr>
          <w:rFonts w:hint="default" w:ascii="Times New Roman" w:hAnsi="Times New Roman" w:cs="Times New Roman"/>
          <w:color w:val="auto"/>
          <w:sz w:val="24"/>
          <w:szCs w:val="22"/>
        </w:rPr>
      </w:pPr>
      <w:r>
        <w:rPr>
          <w:rFonts w:hint="default" w:ascii="Times New Roman" w:hAnsi="Times New Roman" w:cs="Times New Roman"/>
          <w:color w:val="auto"/>
          <w:sz w:val="24"/>
          <w:szCs w:val="22"/>
        </w:rPr>
        <w:t>注：短时摄影类（DR）均为医用X射线摄影系统（DR）。其他类为CT机、乳腺摄影、口内牙片摄影、牙科全景摄影、牙科全景头颅摄影、具有透视功能的X射线设备、工业探伤机、荧光分析仪。</w:t>
      </w:r>
    </w:p>
    <w:p>
      <w:pPr>
        <w:pStyle w:val="5"/>
        <w:ind w:left="0" w:leftChars="0" w:firstLine="0" w:firstLineChars="0"/>
        <w:rPr>
          <w:rFonts w:hint="default" w:ascii="Times New Roman" w:hAnsi="Times New Roman" w:cs="Times New Roman"/>
          <w:color w:val="auto"/>
          <w:szCs w:val="22"/>
        </w:rPr>
      </w:pPr>
      <w:bookmarkStart w:id="48" w:name="_Toc28876"/>
      <w:r>
        <w:rPr>
          <w:rFonts w:hint="default" w:ascii="Times New Roman" w:hAnsi="Times New Roman" w:cs="Times New Roman"/>
          <w:color w:val="auto"/>
        </w:rPr>
        <w:t>6.1.3 5G通信基站</w:t>
      </w:r>
      <w:bookmarkEnd w:id="48"/>
    </w:p>
    <w:p>
      <w:pPr>
        <w:ind w:firstLine="560"/>
        <w:jc w:val="both"/>
        <w:rPr>
          <w:rFonts w:hint="default" w:ascii="Times New Roman" w:hAnsi="Times New Roman" w:cs="Times New Roman"/>
          <w:color w:val="auto"/>
        </w:rPr>
      </w:pPr>
      <w:r>
        <w:rPr>
          <w:rFonts w:hint="default" w:ascii="Times New Roman" w:hAnsi="Times New Roman" w:cs="Times New Roman"/>
          <w:color w:val="auto"/>
        </w:rPr>
        <w:t>本次完成电信、移动和联通共</w:t>
      </w:r>
      <w:r>
        <w:rPr>
          <w:rFonts w:hint="default" w:ascii="Times New Roman" w:hAnsi="Times New Roman" w:cs="Times New Roman"/>
          <w:color w:val="auto"/>
          <w:lang w:val="en-US" w:eastAsia="zh-CN"/>
        </w:rPr>
        <w:t>20</w:t>
      </w:r>
      <w:r>
        <w:rPr>
          <w:rFonts w:hint="default" w:ascii="Times New Roman" w:hAnsi="Times New Roman" w:cs="Times New Roman"/>
          <w:color w:val="auto"/>
        </w:rPr>
        <w:t>个通信基站的电磁辐射监测，按照《5G移动通信基站电磁辐射环境监测方法（试行）》（HJ 1151-2020）进行布点，共设置</w:t>
      </w:r>
      <w:r>
        <w:rPr>
          <w:rFonts w:hint="default" w:ascii="Times New Roman" w:hAnsi="Times New Roman" w:cs="Times New Roman"/>
          <w:color w:val="auto"/>
          <w:lang w:val="en-US" w:eastAsia="zh-CN"/>
        </w:rPr>
        <w:t>65</w:t>
      </w:r>
      <w:r>
        <w:rPr>
          <w:rFonts w:hint="default" w:ascii="Times New Roman" w:hAnsi="Times New Roman" w:cs="Times New Roman"/>
          <w:color w:val="auto"/>
        </w:rPr>
        <w:t>个点位，监测结果如下表6-3所示。</w:t>
      </w:r>
    </w:p>
    <w:p>
      <w:pPr>
        <w:ind w:firstLine="0" w:firstLineChars="0"/>
        <w:jc w:val="center"/>
        <w:rPr>
          <w:rFonts w:hint="default" w:ascii="Times New Roman" w:hAnsi="Times New Roman" w:cs="Times New Roman"/>
          <w:color w:val="auto"/>
        </w:rPr>
      </w:pPr>
      <w:r>
        <w:rPr>
          <w:rFonts w:hint="default" w:ascii="Times New Roman" w:hAnsi="Times New Roman" w:eastAsia="黑体" w:cs="Times New Roman"/>
          <w:color w:val="auto"/>
          <w:sz w:val="24"/>
        </w:rPr>
        <w:t>表6-3 通信基站电磁辐射监测结果一览表</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377"/>
        <w:gridCol w:w="4034"/>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93"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color w:val="auto"/>
                <w:sz w:val="24"/>
              </w:rPr>
            </w:pPr>
            <w:r>
              <w:rPr>
                <w:rFonts w:hint="default" w:ascii="Times New Roman" w:hAnsi="Times New Roman" w:cs="Times New Roman"/>
                <w:b/>
                <w:color w:val="auto"/>
                <w:sz w:val="24"/>
              </w:rPr>
              <w:t>序号</w:t>
            </w:r>
          </w:p>
        </w:tc>
        <w:tc>
          <w:tcPr>
            <w:tcW w:w="1377"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color w:val="auto"/>
                <w:sz w:val="24"/>
              </w:rPr>
            </w:pPr>
            <w:r>
              <w:rPr>
                <w:rFonts w:hint="default" w:ascii="Times New Roman" w:hAnsi="Times New Roman" w:cs="Times New Roman"/>
                <w:b/>
                <w:color w:val="auto"/>
                <w:sz w:val="24"/>
              </w:rPr>
              <w:t>通讯公司</w:t>
            </w:r>
          </w:p>
        </w:tc>
        <w:tc>
          <w:tcPr>
            <w:tcW w:w="403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color w:val="auto"/>
                <w:sz w:val="24"/>
              </w:rPr>
            </w:pPr>
            <w:r>
              <w:rPr>
                <w:rFonts w:hint="default" w:ascii="Times New Roman" w:hAnsi="Times New Roman" w:cs="Times New Roman"/>
                <w:b/>
                <w:color w:val="auto"/>
                <w:sz w:val="24"/>
              </w:rPr>
              <w:t>基站名称</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Times New Roman" w:hAnsi="Times New Roman" w:eastAsia="仿宋" w:cs="Times New Roman"/>
                <w:b/>
                <w:color w:val="auto"/>
                <w:sz w:val="24"/>
                <w:lang w:eastAsia="zh-CN"/>
              </w:rPr>
            </w:pPr>
            <w:r>
              <w:rPr>
                <w:rFonts w:hint="default" w:ascii="Times New Roman" w:hAnsi="Times New Roman" w:cs="Times New Roman"/>
                <w:b/>
                <w:color w:val="auto"/>
                <w:sz w:val="24"/>
              </w:rPr>
              <w:t>监测结果</w:t>
            </w:r>
            <w:r>
              <w:rPr>
                <w:rFonts w:hint="default" w:ascii="Times New Roman" w:hAnsi="Times New Roman" w:cs="Times New Roman"/>
                <w:b/>
                <w:color w:val="auto"/>
                <w:sz w:val="24"/>
                <w:lang w:eastAsia="zh-CN"/>
              </w:rPr>
              <w:t>（μ</w:t>
            </w:r>
            <w:r>
              <w:rPr>
                <w:rFonts w:hint="default" w:ascii="Times New Roman" w:hAnsi="Times New Roman" w:cs="Times New Roman"/>
                <w:b/>
                <w:color w:val="auto"/>
                <w:sz w:val="24"/>
                <w:lang w:val="en-US" w:eastAsia="zh-CN"/>
              </w:rPr>
              <w:t>W/cm</w:t>
            </w:r>
            <w:r>
              <w:rPr>
                <w:rFonts w:hint="default" w:ascii="Times New Roman" w:hAnsi="Times New Roman" w:cs="Times New Roman"/>
                <w:b/>
                <w:color w:val="auto"/>
                <w:sz w:val="24"/>
                <w:vertAlign w:val="superscript"/>
                <w:lang w:val="en-US" w:eastAsia="zh-CN"/>
              </w:rPr>
              <w:t>2</w:t>
            </w:r>
            <w:r>
              <w:rPr>
                <w:rFonts w:hint="default" w:ascii="Times New Roman" w:hAnsi="Times New Roman" w:cs="Times New Roman"/>
                <w:b/>
                <w:color w:val="auto"/>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3" w:type="dxa"/>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1</w:t>
            </w:r>
          </w:p>
        </w:tc>
        <w:tc>
          <w:tcPr>
            <w:tcW w:w="1377" w:type="dxa"/>
            <w:vMerge w:val="restart"/>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移动</w:t>
            </w:r>
          </w:p>
        </w:tc>
        <w:tc>
          <w:tcPr>
            <w:tcW w:w="4034" w:type="dxa"/>
            <w:vAlign w:val="center"/>
          </w:tcPr>
          <w:p>
            <w:pPr>
              <w:pStyle w:val="2"/>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eastAsia="仿宋" w:cs="Times New Roman"/>
                <w:color w:val="auto"/>
                <w:kern w:val="2"/>
                <w:sz w:val="24"/>
                <w:szCs w:val="24"/>
                <w:lang w:val="en-US" w:eastAsia="zh-CN" w:bidi="ar-SA"/>
              </w:rPr>
              <w:t>随县厉山北岗村700M-H5H</w:t>
            </w:r>
          </w:p>
        </w:tc>
        <w:tc>
          <w:tcPr>
            <w:tcW w:w="226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szCs w:val="24"/>
                <w:lang w:val="en-US"/>
              </w:rPr>
            </w:pPr>
            <w:r>
              <w:rPr>
                <w:rFonts w:hint="default" w:ascii="Times New Roman" w:hAnsi="Times New Roman" w:eastAsia="宋体" w:cs="Times New Roman"/>
                <w:i w:val="0"/>
                <w:iCs w:val="0"/>
                <w:color w:val="auto"/>
                <w:kern w:val="0"/>
                <w:sz w:val="24"/>
                <w:szCs w:val="24"/>
                <w:u w:val="none"/>
                <w:lang w:val="en-US" w:eastAsia="zh-CN" w:bidi="ar"/>
              </w:rPr>
              <w:t>0.111~2.41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3" w:type="dxa"/>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2</w:t>
            </w:r>
          </w:p>
        </w:tc>
        <w:tc>
          <w:tcPr>
            <w:tcW w:w="1377" w:type="dxa"/>
            <w:vMerge w:val="continue"/>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p>
        </w:tc>
        <w:tc>
          <w:tcPr>
            <w:tcW w:w="4034" w:type="dxa"/>
            <w:vAlign w:val="center"/>
          </w:tcPr>
          <w:p>
            <w:pPr>
              <w:pStyle w:val="2"/>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eastAsia="仿宋" w:cs="Times New Roman"/>
                <w:color w:val="auto"/>
                <w:kern w:val="2"/>
                <w:sz w:val="24"/>
                <w:szCs w:val="24"/>
                <w:lang w:val="en-US" w:eastAsia="zh-CN" w:bidi="ar-SA"/>
              </w:rPr>
              <w:t>随县厉山风景区700M-H5H</w:t>
            </w:r>
          </w:p>
        </w:tc>
        <w:tc>
          <w:tcPr>
            <w:tcW w:w="226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eastAsia="宋体" w:cs="Times New Roman"/>
                <w:i w:val="0"/>
                <w:iCs w:val="0"/>
                <w:color w:val="auto"/>
                <w:kern w:val="0"/>
                <w:sz w:val="24"/>
                <w:szCs w:val="24"/>
                <w:u w:val="none"/>
                <w:lang w:val="en-US" w:eastAsia="zh-CN" w:bidi="ar"/>
              </w:rPr>
              <w:t>0.067~0.167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3" w:type="dxa"/>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3</w:t>
            </w:r>
          </w:p>
        </w:tc>
        <w:tc>
          <w:tcPr>
            <w:tcW w:w="1377" w:type="dxa"/>
            <w:vMerge w:val="continue"/>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p>
        </w:tc>
        <w:tc>
          <w:tcPr>
            <w:tcW w:w="4034" w:type="dxa"/>
            <w:vAlign w:val="center"/>
          </w:tcPr>
          <w:p>
            <w:pPr>
              <w:pStyle w:val="2"/>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eastAsia="仿宋" w:cs="Times New Roman"/>
                <w:color w:val="auto"/>
                <w:kern w:val="2"/>
                <w:sz w:val="24"/>
                <w:szCs w:val="24"/>
                <w:lang w:val="en-US" w:eastAsia="zh-CN" w:bidi="ar-SA"/>
              </w:rPr>
              <w:t>D_曾都开发区管委会-H5H</w:t>
            </w:r>
          </w:p>
        </w:tc>
        <w:tc>
          <w:tcPr>
            <w:tcW w:w="226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eastAsia="宋体" w:cs="Times New Roman"/>
                <w:i w:val="0"/>
                <w:iCs w:val="0"/>
                <w:color w:val="auto"/>
                <w:kern w:val="0"/>
                <w:sz w:val="24"/>
                <w:szCs w:val="24"/>
                <w:u w:val="none"/>
                <w:lang w:val="en-US" w:eastAsia="zh-CN" w:bidi="ar"/>
              </w:rPr>
              <w:t>0.116~0.395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3" w:type="dxa"/>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4</w:t>
            </w:r>
          </w:p>
        </w:tc>
        <w:tc>
          <w:tcPr>
            <w:tcW w:w="1377" w:type="dxa"/>
            <w:vMerge w:val="continue"/>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p>
        </w:tc>
        <w:tc>
          <w:tcPr>
            <w:tcW w:w="4034" w:type="dxa"/>
            <w:vAlign w:val="center"/>
          </w:tcPr>
          <w:p>
            <w:pPr>
              <w:pStyle w:val="2"/>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eastAsia="仿宋" w:cs="Times New Roman"/>
                <w:color w:val="auto"/>
                <w:kern w:val="2"/>
                <w:sz w:val="24"/>
                <w:szCs w:val="24"/>
                <w:lang w:val="en-US" w:eastAsia="zh-CN" w:bidi="ar-SA"/>
              </w:rPr>
              <w:t>D_曾都湖北力威汽车-H5H</w:t>
            </w:r>
          </w:p>
        </w:tc>
        <w:tc>
          <w:tcPr>
            <w:tcW w:w="226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eastAsia="宋体" w:cs="Times New Roman"/>
                <w:i w:val="0"/>
                <w:iCs w:val="0"/>
                <w:color w:val="auto"/>
                <w:kern w:val="0"/>
                <w:sz w:val="24"/>
                <w:szCs w:val="24"/>
                <w:u w:val="none"/>
                <w:lang w:val="en-US" w:eastAsia="zh-CN" w:bidi="ar"/>
              </w:rPr>
              <w:t>0.065~1.05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3" w:type="dxa"/>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5</w:t>
            </w:r>
          </w:p>
        </w:tc>
        <w:tc>
          <w:tcPr>
            <w:tcW w:w="1377" w:type="dxa"/>
            <w:vMerge w:val="continue"/>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p>
        </w:tc>
        <w:tc>
          <w:tcPr>
            <w:tcW w:w="4034" w:type="dxa"/>
            <w:vAlign w:val="center"/>
          </w:tcPr>
          <w:p>
            <w:pPr>
              <w:pStyle w:val="2"/>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eastAsia="仿宋" w:cs="Times New Roman"/>
                <w:color w:val="auto"/>
                <w:kern w:val="2"/>
                <w:sz w:val="24"/>
                <w:szCs w:val="24"/>
                <w:lang w:val="en-US" w:eastAsia="zh-CN" w:bidi="ar-SA"/>
              </w:rPr>
              <w:t>D_广水大山口-H5H</w:t>
            </w:r>
          </w:p>
        </w:tc>
        <w:tc>
          <w:tcPr>
            <w:tcW w:w="226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eastAsia="宋体" w:cs="Times New Roman"/>
                <w:i w:val="0"/>
                <w:iCs w:val="0"/>
                <w:color w:val="auto"/>
                <w:kern w:val="0"/>
                <w:sz w:val="24"/>
                <w:szCs w:val="24"/>
                <w:u w:val="none"/>
                <w:lang w:val="en-US" w:eastAsia="zh-CN" w:bidi="ar"/>
              </w:rPr>
              <w:t>0.134~0.462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3" w:type="dxa"/>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6</w:t>
            </w:r>
          </w:p>
        </w:tc>
        <w:tc>
          <w:tcPr>
            <w:tcW w:w="1377" w:type="dxa"/>
            <w:vMerge w:val="continue"/>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p>
        </w:tc>
        <w:tc>
          <w:tcPr>
            <w:tcW w:w="4034" w:type="dxa"/>
            <w:vAlign w:val="center"/>
          </w:tcPr>
          <w:p>
            <w:pPr>
              <w:pStyle w:val="2"/>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eastAsia="仿宋" w:cs="Times New Roman"/>
                <w:color w:val="auto"/>
                <w:kern w:val="2"/>
                <w:sz w:val="24"/>
                <w:szCs w:val="24"/>
                <w:lang w:val="en-US" w:eastAsia="zh-CN" w:bidi="ar-SA"/>
              </w:rPr>
              <w:t>广水汽车年检中心700M-H5H</w:t>
            </w:r>
          </w:p>
        </w:tc>
        <w:tc>
          <w:tcPr>
            <w:tcW w:w="226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eastAsia="宋体" w:cs="Times New Roman"/>
                <w:i w:val="0"/>
                <w:iCs w:val="0"/>
                <w:color w:val="auto"/>
                <w:kern w:val="0"/>
                <w:sz w:val="24"/>
                <w:szCs w:val="24"/>
                <w:u w:val="none"/>
                <w:lang w:val="en-US" w:eastAsia="zh-CN" w:bidi="ar"/>
              </w:rPr>
              <w:t>0.017~0.046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3" w:type="dxa"/>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7</w:t>
            </w:r>
          </w:p>
        </w:tc>
        <w:tc>
          <w:tcPr>
            <w:tcW w:w="1377" w:type="dxa"/>
            <w:vMerge w:val="continue"/>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p>
        </w:tc>
        <w:tc>
          <w:tcPr>
            <w:tcW w:w="4034" w:type="dxa"/>
            <w:vAlign w:val="center"/>
          </w:tcPr>
          <w:p>
            <w:pPr>
              <w:pStyle w:val="2"/>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eastAsia="仿宋" w:cs="Times New Roman"/>
                <w:color w:val="auto"/>
                <w:kern w:val="2"/>
                <w:sz w:val="24"/>
                <w:szCs w:val="24"/>
                <w:lang w:val="en-US" w:eastAsia="zh-CN" w:bidi="ar-SA"/>
              </w:rPr>
              <w:t>广水湖北凯龙集团700M-H5H</w:t>
            </w:r>
          </w:p>
        </w:tc>
        <w:tc>
          <w:tcPr>
            <w:tcW w:w="226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eastAsia="宋体" w:cs="Times New Roman"/>
                <w:i w:val="0"/>
                <w:iCs w:val="0"/>
                <w:color w:val="auto"/>
                <w:kern w:val="0"/>
                <w:sz w:val="24"/>
                <w:szCs w:val="24"/>
                <w:u w:val="none"/>
                <w:lang w:val="en-US" w:eastAsia="zh-CN" w:bidi="ar"/>
              </w:rPr>
              <w:t>0.026~0.067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3" w:type="dxa"/>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8</w:t>
            </w:r>
          </w:p>
        </w:tc>
        <w:tc>
          <w:tcPr>
            <w:tcW w:w="1377" w:type="dxa"/>
            <w:vMerge w:val="continue"/>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p>
        </w:tc>
        <w:tc>
          <w:tcPr>
            <w:tcW w:w="4034" w:type="dxa"/>
            <w:vAlign w:val="center"/>
          </w:tcPr>
          <w:p>
            <w:pPr>
              <w:pStyle w:val="2"/>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eastAsia="仿宋" w:cs="Times New Roman"/>
                <w:color w:val="auto"/>
                <w:kern w:val="2"/>
                <w:sz w:val="24"/>
                <w:szCs w:val="24"/>
                <w:lang w:val="en-US" w:eastAsia="zh-CN" w:bidi="ar-SA"/>
              </w:rPr>
              <w:t>广水九里河700M-H5H</w:t>
            </w:r>
          </w:p>
        </w:tc>
        <w:tc>
          <w:tcPr>
            <w:tcW w:w="226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eastAsia="宋体" w:cs="Times New Roman"/>
                <w:i w:val="0"/>
                <w:iCs w:val="0"/>
                <w:color w:val="auto"/>
                <w:kern w:val="0"/>
                <w:sz w:val="24"/>
                <w:szCs w:val="24"/>
                <w:u w:val="none"/>
                <w:lang w:val="en-US" w:eastAsia="zh-CN" w:bidi="ar"/>
              </w:rPr>
              <w:t>0.027~0.115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3" w:type="dxa"/>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9</w:t>
            </w:r>
          </w:p>
        </w:tc>
        <w:tc>
          <w:tcPr>
            <w:tcW w:w="1377" w:type="dxa"/>
            <w:vMerge w:val="restart"/>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电信、联通共建</w:t>
            </w:r>
          </w:p>
        </w:tc>
        <w:tc>
          <w:tcPr>
            <w:tcW w:w="4034" w:type="dxa"/>
            <w:vAlign w:val="center"/>
          </w:tcPr>
          <w:p>
            <w:pPr>
              <w:pStyle w:val="2"/>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eastAsia="仿宋" w:cs="Times New Roman"/>
                <w:color w:val="auto"/>
                <w:kern w:val="2"/>
                <w:sz w:val="24"/>
                <w:szCs w:val="24"/>
                <w:lang w:val="en-US" w:eastAsia="zh-CN" w:bidi="ar-SA"/>
              </w:rPr>
              <w:t>随州曾都区随州波导东门铁塔</w:t>
            </w:r>
          </w:p>
        </w:tc>
        <w:tc>
          <w:tcPr>
            <w:tcW w:w="226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eastAsia="宋体" w:cs="Times New Roman"/>
                <w:i w:val="0"/>
                <w:iCs w:val="0"/>
                <w:color w:val="auto"/>
                <w:kern w:val="0"/>
                <w:sz w:val="24"/>
                <w:szCs w:val="24"/>
                <w:u w:val="none"/>
                <w:lang w:val="en-US" w:eastAsia="zh-CN" w:bidi="ar"/>
              </w:rPr>
              <w:t>0.103~0.639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3" w:type="dxa"/>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10</w:t>
            </w:r>
          </w:p>
        </w:tc>
        <w:tc>
          <w:tcPr>
            <w:tcW w:w="1377" w:type="dxa"/>
            <w:vMerge w:val="continue"/>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p>
        </w:tc>
        <w:tc>
          <w:tcPr>
            <w:tcW w:w="4034" w:type="dxa"/>
            <w:vAlign w:val="center"/>
          </w:tcPr>
          <w:p>
            <w:pPr>
              <w:pStyle w:val="2"/>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eastAsia="仿宋" w:cs="Times New Roman"/>
                <w:color w:val="auto"/>
                <w:kern w:val="2"/>
                <w:sz w:val="24"/>
                <w:szCs w:val="24"/>
                <w:lang w:val="en-US" w:eastAsia="zh-CN" w:bidi="ar-SA"/>
              </w:rPr>
              <w:t>随州曾都区曾都东城新区公路二</w:t>
            </w:r>
          </w:p>
        </w:tc>
        <w:tc>
          <w:tcPr>
            <w:tcW w:w="226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eastAsia="宋体" w:cs="Times New Roman"/>
                <w:i w:val="0"/>
                <w:iCs w:val="0"/>
                <w:color w:val="auto"/>
                <w:kern w:val="0"/>
                <w:sz w:val="24"/>
                <w:szCs w:val="24"/>
                <w:u w:val="none"/>
                <w:lang w:val="en-US" w:eastAsia="zh-CN" w:bidi="ar"/>
              </w:rPr>
              <w:t>0.039~0.101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3" w:type="dxa"/>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11</w:t>
            </w:r>
          </w:p>
        </w:tc>
        <w:tc>
          <w:tcPr>
            <w:tcW w:w="1377" w:type="dxa"/>
            <w:vMerge w:val="continue"/>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p>
        </w:tc>
        <w:tc>
          <w:tcPr>
            <w:tcW w:w="4034" w:type="dxa"/>
            <w:vAlign w:val="center"/>
          </w:tcPr>
          <w:p>
            <w:pPr>
              <w:pStyle w:val="2"/>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eastAsia="仿宋" w:cs="Times New Roman"/>
                <w:color w:val="auto"/>
                <w:kern w:val="2"/>
                <w:sz w:val="24"/>
                <w:szCs w:val="24"/>
                <w:lang w:val="en-US" w:eastAsia="zh-CN" w:bidi="ar-SA"/>
              </w:rPr>
              <w:t>广水财政学校-2.1G-21</w:t>
            </w:r>
          </w:p>
        </w:tc>
        <w:tc>
          <w:tcPr>
            <w:tcW w:w="226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eastAsia="宋体" w:cs="Times New Roman"/>
                <w:i w:val="0"/>
                <w:iCs w:val="0"/>
                <w:color w:val="auto"/>
                <w:kern w:val="0"/>
                <w:sz w:val="24"/>
                <w:szCs w:val="24"/>
                <w:u w:val="none"/>
                <w:lang w:val="en-US" w:eastAsia="zh-CN" w:bidi="ar"/>
              </w:rPr>
              <w:t>0.002~0.012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3" w:type="dxa"/>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12</w:t>
            </w:r>
          </w:p>
        </w:tc>
        <w:tc>
          <w:tcPr>
            <w:tcW w:w="1377" w:type="dxa"/>
            <w:vMerge w:val="continue"/>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p>
        </w:tc>
        <w:tc>
          <w:tcPr>
            <w:tcW w:w="4034" w:type="dxa"/>
            <w:vAlign w:val="center"/>
          </w:tcPr>
          <w:p>
            <w:pPr>
              <w:pStyle w:val="2"/>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kern w:val="2"/>
                <w:sz w:val="24"/>
                <w:szCs w:val="24"/>
                <w:lang w:val="en-US" w:eastAsia="zh-CN" w:bidi="ar-SA"/>
              </w:rPr>
              <w:t>广水自来水厂-3.5G-21</w:t>
            </w:r>
          </w:p>
        </w:tc>
        <w:tc>
          <w:tcPr>
            <w:tcW w:w="226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eastAsia="宋体" w:cs="Times New Roman"/>
                <w:i w:val="0"/>
                <w:iCs w:val="0"/>
                <w:color w:val="auto"/>
                <w:kern w:val="0"/>
                <w:sz w:val="24"/>
                <w:szCs w:val="24"/>
                <w:u w:val="none"/>
                <w:lang w:val="en-US" w:eastAsia="zh-CN" w:bidi="ar"/>
              </w:rPr>
              <w:t>0.115~0.649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3" w:type="dxa"/>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13</w:t>
            </w:r>
          </w:p>
        </w:tc>
        <w:tc>
          <w:tcPr>
            <w:tcW w:w="1377" w:type="dxa"/>
            <w:vMerge w:val="continue"/>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p>
        </w:tc>
        <w:tc>
          <w:tcPr>
            <w:tcW w:w="4034" w:type="dxa"/>
            <w:vAlign w:val="center"/>
          </w:tcPr>
          <w:p>
            <w:pPr>
              <w:pStyle w:val="2"/>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eastAsia="仿宋" w:cs="Times New Roman"/>
                <w:color w:val="auto"/>
                <w:kern w:val="2"/>
                <w:sz w:val="24"/>
                <w:szCs w:val="24"/>
                <w:lang w:val="en-US" w:eastAsia="zh-CN" w:bidi="ar-SA"/>
              </w:rPr>
              <w:t>广水应山大道-3.5G-21</w:t>
            </w:r>
          </w:p>
        </w:tc>
        <w:tc>
          <w:tcPr>
            <w:tcW w:w="226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eastAsia="宋体" w:cs="Times New Roman"/>
                <w:i w:val="0"/>
                <w:iCs w:val="0"/>
                <w:color w:val="auto"/>
                <w:kern w:val="0"/>
                <w:sz w:val="24"/>
                <w:szCs w:val="24"/>
                <w:u w:val="none"/>
                <w:lang w:val="en-US" w:eastAsia="zh-CN" w:bidi="ar"/>
              </w:rPr>
              <w:t>0.088~0.666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3" w:type="dxa"/>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14</w:t>
            </w:r>
          </w:p>
        </w:tc>
        <w:tc>
          <w:tcPr>
            <w:tcW w:w="1377" w:type="dxa"/>
            <w:vMerge w:val="continue"/>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p>
        </w:tc>
        <w:tc>
          <w:tcPr>
            <w:tcW w:w="4034" w:type="dxa"/>
            <w:vAlign w:val="center"/>
          </w:tcPr>
          <w:p>
            <w:pPr>
              <w:pStyle w:val="2"/>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eastAsia="仿宋" w:cs="Times New Roman"/>
                <w:color w:val="auto"/>
                <w:kern w:val="2"/>
                <w:sz w:val="24"/>
                <w:szCs w:val="24"/>
                <w:lang w:val="en-US" w:eastAsia="zh-CN" w:bidi="ar-SA"/>
              </w:rPr>
              <w:t>广水人行桥-3.5G-21</w:t>
            </w:r>
          </w:p>
        </w:tc>
        <w:tc>
          <w:tcPr>
            <w:tcW w:w="226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szCs w:val="24"/>
                <w:lang w:val="en-US"/>
              </w:rPr>
            </w:pPr>
            <w:r>
              <w:rPr>
                <w:rFonts w:hint="default" w:ascii="Times New Roman" w:hAnsi="Times New Roman" w:eastAsia="宋体" w:cs="Times New Roman"/>
                <w:i w:val="0"/>
                <w:iCs w:val="0"/>
                <w:color w:val="auto"/>
                <w:kern w:val="0"/>
                <w:sz w:val="24"/>
                <w:szCs w:val="24"/>
                <w:u w:val="none"/>
                <w:lang w:val="en-US" w:eastAsia="zh-CN" w:bidi="ar"/>
              </w:rPr>
              <w:t>0.049~0.116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3" w:type="dxa"/>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15</w:t>
            </w:r>
          </w:p>
        </w:tc>
        <w:tc>
          <w:tcPr>
            <w:tcW w:w="1377" w:type="dxa"/>
            <w:vMerge w:val="continue"/>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p>
        </w:tc>
        <w:tc>
          <w:tcPr>
            <w:tcW w:w="4034" w:type="dxa"/>
            <w:vAlign w:val="center"/>
          </w:tcPr>
          <w:p>
            <w:pPr>
              <w:pStyle w:val="2"/>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eastAsia="仿宋" w:cs="Times New Roman"/>
                <w:color w:val="auto"/>
                <w:kern w:val="2"/>
                <w:sz w:val="24"/>
                <w:szCs w:val="24"/>
                <w:lang w:val="en-US" w:eastAsia="zh-CN" w:bidi="ar-SA"/>
              </w:rPr>
              <w:t>随州随县一中-2.1G-21</w:t>
            </w:r>
          </w:p>
        </w:tc>
        <w:tc>
          <w:tcPr>
            <w:tcW w:w="226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szCs w:val="24"/>
                <w:lang w:val="en-US"/>
              </w:rPr>
            </w:pPr>
            <w:r>
              <w:rPr>
                <w:rFonts w:hint="default" w:ascii="Times New Roman" w:hAnsi="Times New Roman" w:eastAsia="宋体" w:cs="Times New Roman"/>
                <w:i w:val="0"/>
                <w:iCs w:val="0"/>
                <w:color w:val="auto"/>
                <w:kern w:val="0"/>
                <w:sz w:val="24"/>
                <w:szCs w:val="24"/>
                <w:u w:val="none"/>
                <w:lang w:val="en-US" w:eastAsia="zh-CN" w:bidi="ar"/>
              </w:rPr>
              <w:t>0.023~0.046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3" w:type="dxa"/>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16</w:t>
            </w:r>
          </w:p>
        </w:tc>
        <w:tc>
          <w:tcPr>
            <w:tcW w:w="1377" w:type="dxa"/>
            <w:vMerge w:val="continue"/>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p>
        </w:tc>
        <w:tc>
          <w:tcPr>
            <w:tcW w:w="4034" w:type="dxa"/>
            <w:vAlign w:val="center"/>
          </w:tcPr>
          <w:p>
            <w:pPr>
              <w:pStyle w:val="2"/>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eastAsia="仿宋" w:cs="Times New Roman"/>
                <w:color w:val="auto"/>
                <w:kern w:val="2"/>
                <w:sz w:val="24"/>
                <w:szCs w:val="24"/>
                <w:lang w:val="en-US" w:eastAsia="zh-CN" w:bidi="ar-SA"/>
              </w:rPr>
              <w:t>随州随县星炬小区-2.1G-21</w:t>
            </w:r>
          </w:p>
        </w:tc>
        <w:tc>
          <w:tcPr>
            <w:tcW w:w="226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eastAsia="宋体" w:cs="Times New Roman"/>
                <w:i w:val="0"/>
                <w:iCs w:val="0"/>
                <w:color w:val="auto"/>
                <w:kern w:val="0"/>
                <w:sz w:val="24"/>
                <w:szCs w:val="24"/>
                <w:u w:val="none"/>
                <w:lang w:val="en-US" w:eastAsia="zh-CN" w:bidi="ar"/>
              </w:rPr>
              <w:t>0.002~0.024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3" w:type="dxa"/>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17</w:t>
            </w:r>
          </w:p>
        </w:tc>
        <w:tc>
          <w:tcPr>
            <w:tcW w:w="1377" w:type="dxa"/>
            <w:vMerge w:val="continue"/>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p>
        </w:tc>
        <w:tc>
          <w:tcPr>
            <w:tcW w:w="4034" w:type="dxa"/>
            <w:vAlign w:val="center"/>
          </w:tcPr>
          <w:p>
            <w:pPr>
              <w:pStyle w:val="2"/>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eastAsia="仿宋" w:cs="Times New Roman"/>
                <w:color w:val="auto"/>
                <w:kern w:val="2"/>
                <w:sz w:val="24"/>
                <w:szCs w:val="24"/>
                <w:lang w:val="en-US" w:eastAsia="zh-CN" w:bidi="ar-SA"/>
              </w:rPr>
              <w:t>随州随县电信局-2.1G-21</w:t>
            </w:r>
          </w:p>
        </w:tc>
        <w:tc>
          <w:tcPr>
            <w:tcW w:w="226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eastAsia="宋体" w:cs="Times New Roman"/>
                <w:i w:val="0"/>
                <w:iCs w:val="0"/>
                <w:color w:val="auto"/>
                <w:kern w:val="0"/>
                <w:sz w:val="24"/>
                <w:szCs w:val="24"/>
                <w:u w:val="none"/>
                <w:lang w:val="en-US" w:eastAsia="zh-CN" w:bidi="ar"/>
              </w:rPr>
              <w:t>0.003~0.254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3" w:type="dxa"/>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18</w:t>
            </w:r>
          </w:p>
        </w:tc>
        <w:tc>
          <w:tcPr>
            <w:tcW w:w="1377" w:type="dxa"/>
            <w:vMerge w:val="continue"/>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p>
        </w:tc>
        <w:tc>
          <w:tcPr>
            <w:tcW w:w="4034" w:type="dxa"/>
            <w:vAlign w:val="center"/>
          </w:tcPr>
          <w:p>
            <w:pPr>
              <w:pStyle w:val="2"/>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eastAsia="仿宋" w:cs="Times New Roman"/>
                <w:color w:val="auto"/>
                <w:kern w:val="2"/>
                <w:sz w:val="24"/>
                <w:szCs w:val="24"/>
                <w:lang w:val="en-US" w:eastAsia="zh-CN" w:bidi="ar-SA"/>
              </w:rPr>
              <w:t>随州随县供销社-2.1G-21</w:t>
            </w:r>
          </w:p>
        </w:tc>
        <w:tc>
          <w:tcPr>
            <w:tcW w:w="226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eastAsia="宋体" w:cs="Times New Roman"/>
                <w:i w:val="0"/>
                <w:iCs w:val="0"/>
                <w:color w:val="auto"/>
                <w:kern w:val="0"/>
                <w:sz w:val="24"/>
                <w:szCs w:val="24"/>
                <w:u w:val="none"/>
                <w:lang w:val="en-US" w:eastAsia="zh-CN" w:bidi="ar"/>
              </w:rPr>
              <w:t>0.003~0.008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3" w:type="dxa"/>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19</w:t>
            </w:r>
          </w:p>
        </w:tc>
        <w:tc>
          <w:tcPr>
            <w:tcW w:w="1377" w:type="dxa"/>
            <w:vMerge w:val="continue"/>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p>
        </w:tc>
        <w:tc>
          <w:tcPr>
            <w:tcW w:w="4034" w:type="dxa"/>
            <w:vAlign w:val="center"/>
          </w:tcPr>
          <w:p>
            <w:pPr>
              <w:pStyle w:val="2"/>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eastAsia="仿宋" w:cs="Times New Roman"/>
                <w:color w:val="auto"/>
                <w:kern w:val="2"/>
                <w:sz w:val="24"/>
                <w:szCs w:val="24"/>
                <w:lang w:val="en-US" w:eastAsia="zh-CN" w:bidi="ar-SA"/>
              </w:rPr>
              <w:t>随州曾都区两水三友公司</w:t>
            </w:r>
          </w:p>
        </w:tc>
        <w:tc>
          <w:tcPr>
            <w:tcW w:w="226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eastAsia="宋体" w:cs="Times New Roman"/>
                <w:i w:val="0"/>
                <w:iCs w:val="0"/>
                <w:color w:val="auto"/>
                <w:kern w:val="0"/>
                <w:sz w:val="24"/>
                <w:szCs w:val="24"/>
                <w:u w:val="none"/>
                <w:lang w:val="en-US" w:eastAsia="zh-CN" w:bidi="ar"/>
              </w:rPr>
              <w:t>0.019~0.044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3" w:type="dxa"/>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20</w:t>
            </w:r>
          </w:p>
        </w:tc>
        <w:tc>
          <w:tcPr>
            <w:tcW w:w="1377" w:type="dxa"/>
            <w:vMerge w:val="continue"/>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p>
        </w:tc>
        <w:tc>
          <w:tcPr>
            <w:tcW w:w="4034" w:type="dxa"/>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eastAsia="仿宋" w:cs="Times New Roman"/>
                <w:color w:val="auto"/>
                <w:kern w:val="2"/>
                <w:sz w:val="24"/>
                <w:szCs w:val="24"/>
                <w:lang w:val="en-US" w:eastAsia="zh-CN" w:bidi="ar-SA"/>
              </w:rPr>
              <w:t>随州曾都区随州曾都祥丰化肥厂</w:t>
            </w:r>
          </w:p>
        </w:tc>
        <w:tc>
          <w:tcPr>
            <w:tcW w:w="226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eastAsia="宋体" w:cs="Times New Roman"/>
                <w:i w:val="0"/>
                <w:iCs w:val="0"/>
                <w:color w:val="auto"/>
                <w:kern w:val="0"/>
                <w:sz w:val="24"/>
                <w:szCs w:val="24"/>
                <w:u w:val="none"/>
                <w:lang w:val="en-US" w:eastAsia="zh-CN" w:bidi="ar"/>
              </w:rPr>
              <w:t>0.002~0.018</w:t>
            </w:r>
          </w:p>
        </w:tc>
      </w:tr>
    </w:tbl>
    <w:p>
      <w:pPr>
        <w:ind w:firstLine="560"/>
        <w:rPr>
          <w:rFonts w:hint="default" w:ascii="Times New Roman" w:hAnsi="Times New Roman" w:cs="Times New Roman"/>
          <w:color w:val="auto"/>
        </w:rPr>
        <w:sectPr>
          <w:pgSz w:w="11906" w:h="16838"/>
          <w:pgMar w:top="1440" w:right="1800" w:bottom="1440" w:left="1800" w:header="851" w:footer="992" w:gutter="0"/>
          <w:cols w:space="425" w:num="1"/>
          <w:docGrid w:type="lines" w:linePitch="312" w:charSpace="0"/>
        </w:sectPr>
      </w:pPr>
    </w:p>
    <w:p>
      <w:pPr>
        <w:pStyle w:val="4"/>
        <w:ind w:left="0" w:leftChars="0" w:firstLine="0" w:firstLineChars="0"/>
        <w:rPr>
          <w:rFonts w:hint="default" w:ascii="Times New Roman" w:hAnsi="Times New Roman" w:cs="Times New Roman"/>
          <w:color w:val="auto"/>
        </w:rPr>
      </w:pPr>
      <w:bookmarkStart w:id="49" w:name="_Toc1616"/>
      <w:r>
        <w:rPr>
          <w:rFonts w:hint="default" w:ascii="Times New Roman" w:hAnsi="Times New Roman" w:cs="Times New Roman"/>
          <w:color w:val="auto"/>
        </w:rPr>
        <w:t>6.2 结果分析</w:t>
      </w:r>
      <w:bookmarkEnd w:id="49"/>
    </w:p>
    <w:p>
      <w:pPr>
        <w:pStyle w:val="5"/>
        <w:ind w:left="0" w:leftChars="0" w:firstLine="0" w:firstLineChars="0"/>
        <w:rPr>
          <w:rFonts w:hint="default" w:ascii="Times New Roman" w:hAnsi="Times New Roman" w:cs="Times New Roman"/>
          <w:color w:val="auto"/>
        </w:rPr>
      </w:pPr>
      <w:bookmarkStart w:id="50" w:name="_Toc28264"/>
      <w:r>
        <w:rPr>
          <w:rFonts w:hint="default" w:ascii="Times New Roman" w:hAnsi="Times New Roman" w:cs="Times New Roman"/>
          <w:color w:val="auto"/>
        </w:rPr>
        <w:t>6.2.1密封放射源核技术利用单位</w:t>
      </w:r>
      <w:bookmarkEnd w:id="50"/>
    </w:p>
    <w:p>
      <w:pPr>
        <w:ind w:firstLine="560"/>
        <w:rPr>
          <w:rFonts w:hint="default" w:ascii="Times New Roman" w:hAnsi="Times New Roman" w:cs="Times New Roman"/>
          <w:color w:val="auto"/>
        </w:rPr>
      </w:pPr>
      <w:r>
        <w:rPr>
          <w:rFonts w:hint="default" w:ascii="Times New Roman" w:hAnsi="Times New Roman" w:cs="Times New Roman"/>
          <w:color w:val="auto"/>
        </w:rPr>
        <w:t>本项目共对</w:t>
      </w:r>
      <w:r>
        <w:rPr>
          <w:rFonts w:hint="default" w:ascii="Times New Roman" w:hAnsi="Times New Roman" w:cs="Times New Roman"/>
          <w:color w:val="auto"/>
          <w:lang w:val="en-US" w:eastAsia="zh-CN"/>
        </w:rPr>
        <w:t>4</w:t>
      </w:r>
      <w:r>
        <w:rPr>
          <w:rFonts w:hint="default" w:ascii="Times New Roman" w:hAnsi="Times New Roman" w:cs="Times New Roman"/>
          <w:color w:val="auto"/>
        </w:rPr>
        <w:t>家使用密封放射源核技术利用单位的辐射环境监测工作，按照《含密封源仪表的放射卫生防护要求》（GBZ 125-2009）的规定，分别测量距放射源5cm处和100cm处的剂量率。其中中盐银港湖北人造板有限公司无法测到距放射源5cm</w:t>
      </w:r>
      <w:r>
        <w:rPr>
          <w:rFonts w:hint="default" w:ascii="Times New Roman" w:hAnsi="Times New Roman" w:cs="Times New Roman"/>
          <w:color w:val="auto"/>
          <w:lang w:eastAsia="zh-CN"/>
        </w:rPr>
        <w:t>和</w:t>
      </w:r>
      <w:r>
        <w:rPr>
          <w:rFonts w:hint="default" w:ascii="Times New Roman" w:hAnsi="Times New Roman" w:cs="Times New Roman"/>
          <w:color w:val="auto"/>
          <w:lang w:val="en-US" w:eastAsia="zh-CN"/>
        </w:rPr>
        <w:t>100cm</w:t>
      </w:r>
      <w:r>
        <w:rPr>
          <w:rFonts w:hint="default" w:ascii="Times New Roman" w:hAnsi="Times New Roman" w:cs="Times New Roman"/>
          <w:color w:val="auto"/>
        </w:rPr>
        <w:t>处的剂量率，广水华鑫冶金工业有限公司无法测到距放射源5cm处的剂量率</w:t>
      </w:r>
      <w:r>
        <w:rPr>
          <w:rFonts w:hint="default" w:ascii="Times New Roman" w:hAnsi="Times New Roman" w:cs="Times New Roman"/>
          <w:color w:val="auto"/>
          <w:lang w:eastAsia="zh-CN"/>
        </w:rPr>
        <w:t>，</w:t>
      </w:r>
      <w:r>
        <w:rPr>
          <w:rFonts w:hint="default" w:ascii="Times New Roman" w:hAnsi="Times New Roman" w:cs="Times New Roman"/>
          <w:color w:val="auto"/>
        </w:rPr>
        <w:t>因此无</w:t>
      </w:r>
      <w:r>
        <w:rPr>
          <w:rFonts w:hint="default" w:ascii="Times New Roman" w:hAnsi="Times New Roman" w:cs="Times New Roman"/>
          <w:color w:val="auto"/>
          <w:lang w:eastAsia="zh-CN"/>
        </w:rPr>
        <w:t>对应距离的</w:t>
      </w:r>
      <w:r>
        <w:rPr>
          <w:rFonts w:hint="default" w:ascii="Times New Roman" w:hAnsi="Times New Roman" w:cs="Times New Roman"/>
          <w:color w:val="auto"/>
        </w:rPr>
        <w:t>剂量率数据。</w:t>
      </w:r>
    </w:p>
    <w:p>
      <w:pPr>
        <w:ind w:firstLine="560"/>
        <w:rPr>
          <w:rFonts w:hint="default" w:ascii="Times New Roman" w:hAnsi="Times New Roman" w:cs="Times New Roman"/>
          <w:color w:val="auto"/>
        </w:rPr>
      </w:pPr>
      <w:r>
        <w:rPr>
          <w:rFonts w:hint="default" w:ascii="Times New Roman" w:hAnsi="Times New Roman" w:cs="Times New Roman"/>
          <w:color w:val="auto"/>
        </w:rPr>
        <w:t>本项目</w:t>
      </w:r>
      <w:r>
        <w:rPr>
          <w:rFonts w:hint="default" w:ascii="Times New Roman" w:hAnsi="Times New Roman" w:cs="Times New Roman"/>
          <w:color w:val="auto"/>
          <w:lang w:val="en-US" w:eastAsia="zh-CN"/>
        </w:rPr>
        <w:t>4</w:t>
      </w:r>
      <w:r>
        <w:rPr>
          <w:rFonts w:hint="default" w:ascii="Times New Roman" w:hAnsi="Times New Roman" w:cs="Times New Roman"/>
          <w:color w:val="auto"/>
        </w:rPr>
        <w:t>家使用密封放射源核技术利用单位的距放射源5cm处和100cm处的最高剂量率与国家标准限值对比表分别如下</w:t>
      </w:r>
      <w:r>
        <w:rPr>
          <w:rFonts w:hint="default" w:ascii="Times New Roman" w:hAnsi="Times New Roman" w:cs="Times New Roman"/>
          <w:color w:val="auto"/>
          <w:lang w:eastAsia="zh-CN"/>
        </w:rPr>
        <w:t>图</w:t>
      </w:r>
      <w:r>
        <w:rPr>
          <w:rFonts w:hint="default" w:ascii="Times New Roman" w:hAnsi="Times New Roman" w:cs="Times New Roman"/>
          <w:color w:val="auto"/>
          <w:lang w:val="en-US" w:eastAsia="zh-CN"/>
        </w:rPr>
        <w:t>6</w:t>
      </w:r>
      <w:r>
        <w:rPr>
          <w:rFonts w:hint="default" w:ascii="Times New Roman" w:hAnsi="Times New Roman" w:cs="Times New Roman"/>
          <w:color w:val="auto"/>
        </w:rPr>
        <w:t>-1和</w:t>
      </w:r>
      <w:r>
        <w:rPr>
          <w:rFonts w:hint="default" w:ascii="Times New Roman" w:hAnsi="Times New Roman" w:cs="Times New Roman"/>
          <w:color w:val="auto"/>
          <w:lang w:val="en-US" w:eastAsia="zh-CN"/>
        </w:rPr>
        <w:t>6</w:t>
      </w:r>
      <w:r>
        <w:rPr>
          <w:rFonts w:hint="default" w:ascii="Times New Roman" w:hAnsi="Times New Roman" w:cs="Times New Roman"/>
          <w:color w:val="auto"/>
        </w:rPr>
        <w:t>-2所示。</w:t>
      </w:r>
    </w:p>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仿宋" w:cs="Times New Roman"/>
          <w:color w:val="auto"/>
          <w:lang w:eastAsia="zh-CN"/>
        </w:rPr>
      </w:pPr>
      <w:r>
        <w:rPr>
          <w:rFonts w:hint="default" w:ascii="Times New Roman" w:hAnsi="Times New Roman" w:eastAsia="仿宋" w:cs="Times New Roman"/>
          <w:color w:val="auto"/>
          <w:lang w:eastAsia="zh-CN"/>
        </w:rPr>
        <w:drawing>
          <wp:inline distT="0" distB="0" distL="114300" distR="114300">
            <wp:extent cx="5236845" cy="3185795"/>
            <wp:effectExtent l="0" t="0" r="1905" b="14605"/>
            <wp:docPr id="10" name="图片 10" descr="放射源5cm处剂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放射源5cm处剂量图"/>
                    <pic:cNvPicPr>
                      <a:picLocks noChangeAspect="1"/>
                    </pic:cNvPicPr>
                  </pic:nvPicPr>
                  <pic:blipFill>
                    <a:blip r:embed="rId14"/>
                    <a:stretch>
                      <a:fillRect/>
                    </a:stretch>
                  </pic:blipFill>
                  <pic:spPr>
                    <a:xfrm>
                      <a:off x="0" y="0"/>
                      <a:ext cx="5236845" cy="3185795"/>
                    </a:xfrm>
                    <a:prstGeom prst="rect">
                      <a:avLst/>
                    </a:prstGeom>
                  </pic:spPr>
                </pic:pic>
              </a:graphicData>
            </a:graphic>
          </wp:inline>
        </w:drawing>
      </w:r>
    </w:p>
    <w:p>
      <w:pPr>
        <w:ind w:firstLine="0" w:firstLineChars="0"/>
        <w:jc w:val="center"/>
        <w:rPr>
          <w:rFonts w:hint="default" w:ascii="Times New Roman" w:hAnsi="Times New Roman" w:eastAsia="黑体" w:cs="Times New Roman"/>
          <w:color w:val="auto"/>
          <w:sz w:val="24"/>
          <w:szCs w:val="22"/>
        </w:rPr>
      </w:pPr>
      <w:r>
        <w:rPr>
          <w:rFonts w:hint="default" w:ascii="Times New Roman" w:hAnsi="Times New Roman" w:eastAsia="黑体" w:cs="Times New Roman"/>
          <w:color w:val="auto"/>
          <w:sz w:val="24"/>
          <w:szCs w:val="22"/>
        </w:rPr>
        <w:t>图</w:t>
      </w:r>
      <w:r>
        <w:rPr>
          <w:rFonts w:hint="default" w:ascii="Times New Roman" w:hAnsi="Times New Roman" w:eastAsia="黑体" w:cs="Times New Roman"/>
          <w:color w:val="auto"/>
          <w:sz w:val="24"/>
          <w:szCs w:val="22"/>
          <w:lang w:val="en-US" w:eastAsia="zh-CN"/>
        </w:rPr>
        <w:t>6</w:t>
      </w:r>
      <w:r>
        <w:rPr>
          <w:rFonts w:hint="default" w:ascii="Times New Roman" w:hAnsi="Times New Roman" w:eastAsia="黑体" w:cs="Times New Roman"/>
          <w:color w:val="auto"/>
          <w:sz w:val="24"/>
          <w:szCs w:val="22"/>
        </w:rPr>
        <w:t>-1  距放射源5cm处的最高剂量率与标准限值对比图</w:t>
      </w:r>
    </w:p>
    <w:p>
      <w:pPr>
        <w:ind w:firstLine="560"/>
        <w:rPr>
          <w:rFonts w:hint="default" w:ascii="Times New Roman" w:hAnsi="Times New Roman" w:cs="Times New Roman"/>
          <w:color w:val="auto"/>
          <w:sz w:val="24"/>
          <w:szCs w:val="22"/>
        </w:rPr>
      </w:pPr>
      <w:r>
        <w:rPr>
          <w:rFonts w:hint="default" w:ascii="Times New Roman" w:hAnsi="Times New Roman" w:cs="Times New Roman"/>
          <w:color w:val="auto"/>
        </w:rPr>
        <w:t>由</w:t>
      </w:r>
      <w:r>
        <w:rPr>
          <w:rFonts w:hint="default" w:ascii="Times New Roman" w:hAnsi="Times New Roman" w:cs="Times New Roman"/>
          <w:color w:val="auto"/>
          <w:lang w:eastAsia="zh-CN"/>
        </w:rPr>
        <w:t>图</w:t>
      </w:r>
      <w:r>
        <w:rPr>
          <w:rFonts w:hint="default" w:ascii="Times New Roman" w:hAnsi="Times New Roman" w:cs="Times New Roman"/>
          <w:color w:val="auto"/>
          <w:lang w:val="en-US" w:eastAsia="zh-CN"/>
        </w:rPr>
        <w:t>6</w:t>
      </w:r>
      <w:r>
        <w:rPr>
          <w:rFonts w:hint="default" w:ascii="Times New Roman" w:hAnsi="Times New Roman" w:cs="Times New Roman"/>
          <w:color w:val="auto"/>
        </w:rPr>
        <w:t>-1可知，监测到4家单位距放射源5cm处的剂量率均满足《含密封源仪表的放射卫生防护要求》（GBZ 125-2009）规定的限值（＜25μSv/h）。</w:t>
      </w:r>
    </w:p>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仿宋" w:cs="Times New Roman"/>
          <w:color w:val="auto"/>
          <w:lang w:eastAsia="zh-CN"/>
        </w:rPr>
      </w:pPr>
      <w:r>
        <w:rPr>
          <w:rFonts w:hint="default" w:ascii="Times New Roman" w:hAnsi="Times New Roman" w:eastAsia="仿宋" w:cs="Times New Roman"/>
          <w:color w:val="auto"/>
          <w:lang w:eastAsia="zh-CN"/>
        </w:rPr>
        <w:drawing>
          <wp:inline distT="0" distB="0" distL="114300" distR="114300">
            <wp:extent cx="5178425" cy="3171825"/>
            <wp:effectExtent l="0" t="0" r="3175" b="9525"/>
            <wp:docPr id="12" name="图片 12" descr="放射源100cm处剂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放射源100cm处剂量图"/>
                    <pic:cNvPicPr>
                      <a:picLocks noChangeAspect="1"/>
                    </pic:cNvPicPr>
                  </pic:nvPicPr>
                  <pic:blipFill>
                    <a:blip r:embed="rId15"/>
                    <a:stretch>
                      <a:fillRect/>
                    </a:stretch>
                  </pic:blipFill>
                  <pic:spPr>
                    <a:xfrm>
                      <a:off x="0" y="0"/>
                      <a:ext cx="5178425" cy="3171825"/>
                    </a:xfrm>
                    <a:prstGeom prst="rect">
                      <a:avLst/>
                    </a:prstGeom>
                  </pic:spPr>
                </pic:pic>
              </a:graphicData>
            </a:graphic>
          </wp:inline>
        </w:drawing>
      </w:r>
    </w:p>
    <w:p>
      <w:pPr>
        <w:ind w:left="-560" w:leftChars="-200" w:firstLine="0" w:firstLineChars="0"/>
        <w:jc w:val="center"/>
        <w:rPr>
          <w:rFonts w:hint="default" w:ascii="Times New Roman" w:hAnsi="Times New Roman" w:cs="Times New Roman"/>
          <w:color w:val="auto"/>
        </w:rPr>
      </w:pPr>
      <w:r>
        <w:rPr>
          <w:rFonts w:hint="default" w:ascii="Times New Roman" w:hAnsi="Times New Roman" w:eastAsia="黑体" w:cs="Times New Roman"/>
          <w:color w:val="auto"/>
          <w:sz w:val="24"/>
          <w:szCs w:val="22"/>
        </w:rPr>
        <w:t>图</w:t>
      </w:r>
      <w:r>
        <w:rPr>
          <w:rFonts w:hint="default" w:ascii="Times New Roman" w:hAnsi="Times New Roman" w:eastAsia="黑体" w:cs="Times New Roman"/>
          <w:color w:val="auto"/>
          <w:sz w:val="24"/>
          <w:szCs w:val="22"/>
          <w:lang w:val="en-US" w:eastAsia="zh-CN"/>
        </w:rPr>
        <w:t>6</w:t>
      </w:r>
      <w:r>
        <w:rPr>
          <w:rFonts w:hint="default" w:ascii="Times New Roman" w:hAnsi="Times New Roman" w:eastAsia="黑体" w:cs="Times New Roman"/>
          <w:color w:val="auto"/>
          <w:sz w:val="24"/>
          <w:szCs w:val="22"/>
        </w:rPr>
        <w:t>-2  距放射源100cm处的最高剂量率与标准限值对比图</w:t>
      </w:r>
    </w:p>
    <w:p>
      <w:pPr>
        <w:ind w:firstLine="560"/>
        <w:rPr>
          <w:rFonts w:hint="default" w:ascii="Times New Roman" w:hAnsi="Times New Roman" w:cs="Times New Roman"/>
          <w:color w:val="auto"/>
        </w:rPr>
      </w:pPr>
      <w:r>
        <w:rPr>
          <w:rFonts w:hint="default" w:ascii="Times New Roman" w:hAnsi="Times New Roman" w:cs="Times New Roman"/>
          <w:color w:val="auto"/>
        </w:rPr>
        <w:t>由</w:t>
      </w:r>
      <w:r>
        <w:rPr>
          <w:rFonts w:hint="default" w:ascii="Times New Roman" w:hAnsi="Times New Roman" w:cs="Times New Roman"/>
          <w:color w:val="auto"/>
          <w:lang w:eastAsia="zh-CN"/>
        </w:rPr>
        <w:t>图</w:t>
      </w:r>
      <w:r>
        <w:rPr>
          <w:rFonts w:hint="default" w:ascii="Times New Roman" w:hAnsi="Times New Roman" w:cs="Times New Roman"/>
          <w:color w:val="auto"/>
          <w:lang w:val="en-US" w:eastAsia="zh-CN"/>
        </w:rPr>
        <w:t>6</w:t>
      </w:r>
      <w:r>
        <w:rPr>
          <w:rFonts w:hint="default" w:ascii="Times New Roman" w:hAnsi="Times New Roman" w:cs="Times New Roman"/>
          <w:color w:val="auto"/>
        </w:rPr>
        <w:t>-2可知，监测到</w:t>
      </w:r>
      <w:r>
        <w:rPr>
          <w:rFonts w:hint="default" w:ascii="Times New Roman" w:hAnsi="Times New Roman" w:cs="Times New Roman"/>
          <w:color w:val="auto"/>
          <w:lang w:val="en-US" w:eastAsia="zh-CN"/>
        </w:rPr>
        <w:t>4</w:t>
      </w:r>
      <w:r>
        <w:rPr>
          <w:rFonts w:hint="default" w:ascii="Times New Roman" w:hAnsi="Times New Roman" w:cs="Times New Roman"/>
          <w:color w:val="auto"/>
        </w:rPr>
        <w:t>家单位距放射源100cm处的剂量率均满足《含密封源仪表的放射卫生防护要求》（GBZ 125-2009）规定的限值（＜2.5μSv/h）。</w:t>
      </w:r>
    </w:p>
    <w:p>
      <w:pPr>
        <w:pStyle w:val="5"/>
        <w:ind w:left="0" w:leftChars="0" w:firstLine="0" w:firstLineChars="0"/>
        <w:rPr>
          <w:rFonts w:hint="default" w:ascii="Times New Roman" w:hAnsi="Times New Roman" w:cs="Times New Roman"/>
          <w:color w:val="auto"/>
        </w:rPr>
      </w:pPr>
      <w:bookmarkStart w:id="51" w:name="_Toc13478"/>
      <w:r>
        <w:rPr>
          <w:rFonts w:hint="default" w:ascii="Times New Roman" w:hAnsi="Times New Roman" w:cs="Times New Roman"/>
          <w:color w:val="auto"/>
        </w:rPr>
        <w:t>6.2.2射线装置核技术利用单位</w:t>
      </w:r>
      <w:bookmarkEnd w:id="51"/>
    </w:p>
    <w:p>
      <w:pPr>
        <w:ind w:firstLine="560"/>
        <w:rPr>
          <w:rFonts w:hint="default" w:ascii="Times New Roman" w:hAnsi="Times New Roman" w:eastAsia="仿宋" w:cs="Times New Roman"/>
          <w:color w:val="auto"/>
          <w:lang w:val="en-US" w:eastAsia="zh-CN"/>
        </w:rPr>
      </w:pPr>
      <w:r>
        <w:rPr>
          <w:rFonts w:hint="default" w:ascii="Times New Roman" w:hAnsi="Times New Roman" w:cs="Times New Roman"/>
          <w:color w:val="auto"/>
        </w:rPr>
        <w:t>本次共对</w:t>
      </w:r>
      <w:r>
        <w:rPr>
          <w:rFonts w:hint="default" w:ascii="Times New Roman" w:hAnsi="Times New Roman" w:cs="Times New Roman"/>
          <w:color w:val="auto"/>
          <w:lang w:val="en-US" w:eastAsia="zh-CN"/>
        </w:rPr>
        <w:t>10</w:t>
      </w:r>
      <w:r>
        <w:rPr>
          <w:rFonts w:hint="default" w:ascii="Times New Roman" w:hAnsi="Times New Roman" w:cs="Times New Roman"/>
          <w:color w:val="auto"/>
        </w:rPr>
        <w:t>家使用射线装置核技术利用单位的辐射环境监测工作，分别为3家医疗卫生单位和</w:t>
      </w:r>
      <w:r>
        <w:rPr>
          <w:rFonts w:hint="default" w:ascii="Times New Roman" w:hAnsi="Times New Roman" w:cs="Times New Roman"/>
          <w:color w:val="auto"/>
          <w:lang w:val="en-US" w:eastAsia="zh-CN"/>
        </w:rPr>
        <w:t>7</w:t>
      </w:r>
      <w:r>
        <w:rPr>
          <w:rFonts w:hint="default" w:ascii="Times New Roman" w:hAnsi="Times New Roman" w:cs="Times New Roman"/>
          <w:color w:val="auto"/>
        </w:rPr>
        <w:t>家企业工厂单位，</w:t>
      </w:r>
      <w:r>
        <w:rPr>
          <w:rFonts w:hint="default" w:ascii="Times New Roman" w:hAnsi="Times New Roman" w:cs="Times New Roman"/>
          <w:color w:val="auto"/>
          <w:lang w:eastAsia="zh-CN"/>
        </w:rPr>
        <w:t>共监测</w:t>
      </w:r>
      <w:r>
        <w:rPr>
          <w:rFonts w:hint="default" w:ascii="Times New Roman" w:hAnsi="Times New Roman" w:cs="Times New Roman"/>
          <w:color w:val="auto"/>
          <w:lang w:val="en-US" w:eastAsia="zh-CN"/>
        </w:rPr>
        <w:t>II类射线装置8台，Ⅲ类射线装置21台。</w:t>
      </w:r>
    </w:p>
    <w:p>
      <w:pPr>
        <w:ind w:firstLine="560"/>
        <w:rPr>
          <w:rFonts w:hint="default" w:ascii="Times New Roman" w:hAnsi="Times New Roman" w:eastAsia="仿宋" w:cs="Times New Roman"/>
          <w:color w:val="auto"/>
          <w:lang w:val="en-US" w:eastAsia="zh-CN"/>
        </w:rPr>
      </w:pPr>
      <w:r>
        <w:rPr>
          <w:rFonts w:hint="default" w:ascii="Times New Roman" w:hAnsi="Times New Roman" w:cs="Times New Roman"/>
          <w:color w:val="auto"/>
        </w:rPr>
        <w:t>按照《工业X射线探伤放射防护要求》（GBZ 117-2015）和《放射诊断放射防护要求》（GBZ 130-2020）的规定，测量机房屏蔽体外30cm处的周围剂量当量率</w:t>
      </w:r>
      <w:r>
        <w:rPr>
          <w:rFonts w:hint="default" w:ascii="Times New Roman" w:hAnsi="Times New Roman" w:cs="Times New Roman"/>
          <w:color w:val="auto"/>
          <w:lang w:eastAsia="zh-CN"/>
        </w:rPr>
        <w:t>。</w:t>
      </w:r>
    </w:p>
    <w:p>
      <w:pPr>
        <w:ind w:firstLine="560"/>
        <w:rPr>
          <w:rFonts w:hint="default" w:ascii="Times New Roman" w:hAnsi="Times New Roman" w:cs="Times New Roman"/>
          <w:color w:val="auto"/>
        </w:rPr>
      </w:pPr>
      <w:r>
        <w:rPr>
          <w:rFonts w:hint="default" w:ascii="Times New Roman" w:hAnsi="Times New Roman" w:cs="Times New Roman"/>
          <w:color w:val="auto"/>
        </w:rPr>
        <w:t>本项目</w:t>
      </w:r>
      <w:r>
        <w:rPr>
          <w:rFonts w:hint="default" w:ascii="Times New Roman" w:hAnsi="Times New Roman" w:cs="Times New Roman"/>
          <w:color w:val="auto"/>
          <w:lang w:val="en-US" w:eastAsia="zh-CN"/>
        </w:rPr>
        <w:t>10</w:t>
      </w:r>
      <w:r>
        <w:rPr>
          <w:rFonts w:hint="default" w:ascii="Times New Roman" w:hAnsi="Times New Roman" w:cs="Times New Roman"/>
          <w:color w:val="auto"/>
        </w:rPr>
        <w:t>家使用射线装置核技术利用单位最高剂量率与标准限值对比表分别如下表7-3和7-4所示。</w:t>
      </w:r>
    </w:p>
    <w:p>
      <w:pPr>
        <w:ind w:firstLine="560"/>
        <w:rPr>
          <w:rFonts w:hint="default" w:ascii="Times New Roman" w:hAnsi="Times New Roman" w:cs="Times New Roman"/>
          <w:color w:val="auto"/>
        </w:rPr>
      </w:pPr>
      <w:r>
        <w:rPr>
          <w:rFonts w:hint="default" w:ascii="Times New Roman" w:hAnsi="Times New Roman" w:cs="Times New Roman"/>
          <w:color w:val="auto"/>
        </w:rPr>
        <w:t>由</w:t>
      </w:r>
      <w:r>
        <w:rPr>
          <w:rFonts w:hint="default" w:ascii="Times New Roman" w:hAnsi="Times New Roman" w:cs="Times New Roman"/>
          <w:color w:val="auto"/>
          <w:lang w:eastAsia="zh-CN"/>
        </w:rPr>
        <w:t>图</w:t>
      </w:r>
      <w:r>
        <w:rPr>
          <w:rFonts w:hint="default" w:ascii="Times New Roman" w:hAnsi="Times New Roman" w:cs="Times New Roman"/>
          <w:color w:val="auto"/>
          <w:lang w:val="en-US" w:eastAsia="zh-CN"/>
        </w:rPr>
        <w:t>6</w:t>
      </w:r>
      <w:r>
        <w:rPr>
          <w:rFonts w:hint="default" w:ascii="Times New Roman" w:hAnsi="Times New Roman" w:cs="Times New Roman"/>
          <w:color w:val="auto"/>
        </w:rPr>
        <w:t>-3可知，监测的</w:t>
      </w:r>
      <w:r>
        <w:rPr>
          <w:rFonts w:hint="default" w:ascii="Times New Roman" w:hAnsi="Times New Roman" w:cs="Times New Roman"/>
          <w:color w:val="auto"/>
          <w:lang w:val="en-US" w:eastAsia="zh-CN"/>
        </w:rPr>
        <w:t>3</w:t>
      </w:r>
      <w:r>
        <w:rPr>
          <w:rFonts w:hint="default" w:ascii="Times New Roman" w:hAnsi="Times New Roman" w:cs="Times New Roman"/>
          <w:color w:val="auto"/>
        </w:rPr>
        <w:t>家单位具有短时摄影类设备，即DR，其机房屏蔽体外30cm处的剂量率均满足《放射诊断放射防护要求》（GBZ 130-2020）中规定的限值（＜25μSv/h）。</w:t>
      </w:r>
    </w:p>
    <w:p>
      <w:pPr>
        <w:keepNext w:val="0"/>
        <w:keepLines w:val="0"/>
        <w:pageBreakBefore w:val="0"/>
        <w:widowControl w:val="0"/>
        <w:kinsoku/>
        <w:wordWrap/>
        <w:overflowPunct/>
        <w:topLinePunct w:val="0"/>
        <w:autoSpaceDE/>
        <w:autoSpaceDN/>
        <w:bidi w:val="0"/>
        <w:adjustRightInd/>
        <w:snapToGrid/>
        <w:ind w:right="0" w:rightChars="0" w:firstLine="0" w:firstLineChars="0"/>
        <w:jc w:val="center"/>
        <w:textAlignment w:val="auto"/>
        <w:rPr>
          <w:rFonts w:hint="default" w:ascii="Times New Roman" w:hAnsi="Times New Roman" w:eastAsia="仿宋" w:cs="Times New Roman"/>
          <w:color w:val="auto"/>
          <w:lang w:eastAsia="zh-CN"/>
        </w:rPr>
      </w:pPr>
      <w:r>
        <w:rPr>
          <w:rFonts w:hint="default" w:ascii="Times New Roman" w:hAnsi="Times New Roman" w:eastAsia="仿宋" w:cs="Times New Roman"/>
          <w:color w:val="auto"/>
          <w:lang w:eastAsia="zh-CN"/>
        </w:rPr>
        <w:drawing>
          <wp:inline distT="0" distB="0" distL="114300" distR="114300">
            <wp:extent cx="4928870" cy="3198495"/>
            <wp:effectExtent l="0" t="0" r="5080" b="1905"/>
            <wp:docPr id="4" name="图片 4" descr="短时摄影类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短时摄影类图"/>
                    <pic:cNvPicPr>
                      <a:picLocks noChangeAspect="1"/>
                    </pic:cNvPicPr>
                  </pic:nvPicPr>
                  <pic:blipFill>
                    <a:blip r:embed="rId16"/>
                    <a:stretch>
                      <a:fillRect/>
                    </a:stretch>
                  </pic:blipFill>
                  <pic:spPr>
                    <a:xfrm>
                      <a:off x="0" y="0"/>
                      <a:ext cx="4928870" cy="3198495"/>
                    </a:xfrm>
                    <a:prstGeom prst="rect">
                      <a:avLst/>
                    </a:prstGeom>
                  </pic:spPr>
                </pic:pic>
              </a:graphicData>
            </a:graphic>
          </wp:inline>
        </w:drawing>
      </w:r>
    </w:p>
    <w:p>
      <w:pPr>
        <w:spacing w:line="240" w:lineRule="auto"/>
        <w:ind w:right="-602" w:rightChars="-215" w:firstLine="0" w:firstLineChars="0"/>
        <w:jc w:val="center"/>
        <w:rPr>
          <w:rFonts w:hint="default" w:ascii="Times New Roman" w:hAnsi="Times New Roman" w:eastAsia="黑体" w:cs="Times New Roman"/>
          <w:color w:val="auto"/>
          <w:sz w:val="24"/>
          <w:szCs w:val="22"/>
        </w:rPr>
      </w:pPr>
      <w:r>
        <w:rPr>
          <w:rFonts w:hint="default" w:ascii="Times New Roman" w:hAnsi="Times New Roman" w:eastAsia="黑体" w:cs="Times New Roman"/>
          <w:color w:val="auto"/>
          <w:sz w:val="24"/>
          <w:szCs w:val="22"/>
        </w:rPr>
        <w:t>图</w:t>
      </w:r>
      <w:r>
        <w:rPr>
          <w:rFonts w:hint="default" w:ascii="Times New Roman" w:hAnsi="Times New Roman" w:eastAsia="黑体" w:cs="Times New Roman"/>
          <w:color w:val="auto"/>
          <w:sz w:val="24"/>
          <w:szCs w:val="22"/>
          <w:lang w:val="en-US" w:eastAsia="zh-CN"/>
        </w:rPr>
        <w:t>6</w:t>
      </w:r>
      <w:r>
        <w:rPr>
          <w:rFonts w:hint="default" w:ascii="Times New Roman" w:hAnsi="Times New Roman" w:eastAsia="黑体" w:cs="Times New Roman"/>
          <w:color w:val="auto"/>
          <w:sz w:val="24"/>
          <w:szCs w:val="22"/>
        </w:rPr>
        <w:t>-3  具有短时摄影类（DR）最高剂量率与标准限值对比图</w:t>
      </w:r>
    </w:p>
    <w:p>
      <w:pPr>
        <w:pStyle w:val="2"/>
        <w:keepNext w:val="0"/>
        <w:keepLines w:val="0"/>
        <w:pageBreakBefore w:val="0"/>
        <w:widowControl w:val="0"/>
        <w:kinsoku/>
        <w:wordWrap/>
        <w:overflowPunct/>
        <w:topLinePunct w:val="0"/>
        <w:autoSpaceDE/>
        <w:autoSpaceDN/>
        <w:bidi w:val="0"/>
        <w:adjustRightInd/>
        <w:snapToGrid/>
        <w:ind w:left="0" w:leftChars="0" w:firstLine="560" w:firstLineChars="200"/>
        <w:textAlignment w:val="auto"/>
        <w:rPr>
          <w:rFonts w:hint="default" w:ascii="Times New Roman" w:hAnsi="Times New Roman" w:eastAsia="黑体" w:cs="Times New Roman"/>
          <w:color w:val="auto"/>
          <w:sz w:val="24"/>
          <w:szCs w:val="22"/>
        </w:rPr>
      </w:pPr>
      <w:r>
        <w:rPr>
          <w:rFonts w:hint="default" w:ascii="Times New Roman" w:hAnsi="Times New Roman" w:cs="Times New Roman"/>
          <w:color w:val="auto"/>
          <w:szCs w:val="28"/>
        </w:rPr>
        <w:t>由</w:t>
      </w:r>
      <w:r>
        <w:rPr>
          <w:rFonts w:hint="default" w:ascii="Times New Roman" w:hAnsi="Times New Roman" w:cs="Times New Roman"/>
          <w:color w:val="auto"/>
          <w:szCs w:val="28"/>
          <w:lang w:eastAsia="zh-CN"/>
        </w:rPr>
        <w:t>图</w:t>
      </w:r>
      <w:r>
        <w:rPr>
          <w:rFonts w:hint="default" w:ascii="Times New Roman" w:hAnsi="Times New Roman" w:cs="Times New Roman"/>
          <w:color w:val="auto"/>
          <w:szCs w:val="28"/>
          <w:lang w:val="en-US" w:eastAsia="zh-CN"/>
        </w:rPr>
        <w:t>6</w:t>
      </w:r>
      <w:r>
        <w:rPr>
          <w:rFonts w:hint="default" w:ascii="Times New Roman" w:hAnsi="Times New Roman" w:cs="Times New Roman"/>
          <w:color w:val="auto"/>
          <w:szCs w:val="28"/>
        </w:rPr>
        <w:t>-4可知，监测的其他类，即使用CT机、乳腺摄影、口内牙片摄影、牙科全景摄影、牙科全景头颅摄影、具有透视功能的X射线设备、工业探伤机共</w:t>
      </w:r>
      <w:r>
        <w:rPr>
          <w:rFonts w:hint="default" w:ascii="Times New Roman" w:hAnsi="Times New Roman" w:cs="Times New Roman"/>
          <w:color w:val="auto"/>
          <w:szCs w:val="28"/>
          <w:lang w:val="en-US" w:eastAsia="zh-CN"/>
        </w:rPr>
        <w:t>10</w:t>
      </w:r>
      <w:r>
        <w:rPr>
          <w:rFonts w:hint="default" w:ascii="Times New Roman" w:hAnsi="Times New Roman" w:cs="Times New Roman"/>
          <w:color w:val="auto"/>
          <w:szCs w:val="28"/>
        </w:rPr>
        <w:t>家</w:t>
      </w:r>
      <w:r>
        <w:rPr>
          <w:rFonts w:hint="default" w:ascii="Times New Roman" w:hAnsi="Times New Roman" w:cs="Times New Roman"/>
          <w:color w:val="auto"/>
        </w:rPr>
        <w:t>单位，其中医疗卫生</w:t>
      </w:r>
      <w:r>
        <w:rPr>
          <w:rFonts w:hint="default" w:ascii="Times New Roman" w:hAnsi="Times New Roman" w:cs="Times New Roman"/>
          <w:color w:val="auto"/>
          <w:lang w:val="en-US" w:eastAsia="zh-CN"/>
        </w:rPr>
        <w:t>3</w:t>
      </w:r>
      <w:r>
        <w:rPr>
          <w:rFonts w:hint="default" w:ascii="Times New Roman" w:hAnsi="Times New Roman" w:cs="Times New Roman"/>
          <w:color w:val="auto"/>
        </w:rPr>
        <w:t>家单位，企业工业</w:t>
      </w:r>
      <w:r>
        <w:rPr>
          <w:rFonts w:hint="default" w:ascii="Times New Roman" w:hAnsi="Times New Roman" w:cs="Times New Roman"/>
          <w:color w:val="auto"/>
          <w:lang w:val="en-US" w:eastAsia="zh-CN"/>
        </w:rPr>
        <w:t>7家</w:t>
      </w:r>
      <w:r>
        <w:rPr>
          <w:rFonts w:hint="default" w:ascii="Times New Roman" w:hAnsi="Times New Roman" w:cs="Times New Roman"/>
          <w:color w:val="auto"/>
        </w:rPr>
        <w:t>单位。监测到</w:t>
      </w:r>
      <w:r>
        <w:rPr>
          <w:rFonts w:hint="default" w:ascii="Times New Roman" w:hAnsi="Times New Roman" w:cs="Times New Roman"/>
          <w:color w:val="auto"/>
          <w:lang w:eastAsia="zh-CN"/>
        </w:rPr>
        <w:t>随州市中心医院</w:t>
      </w:r>
      <w:r>
        <w:rPr>
          <w:rFonts w:hint="default" w:ascii="Times New Roman" w:hAnsi="Times New Roman" w:cs="Times New Roman"/>
          <w:color w:val="auto"/>
        </w:rPr>
        <w:t>的其他类设备，其对应机房屏蔽体外30cm处的剂量率</w:t>
      </w:r>
      <w:r>
        <w:rPr>
          <w:rFonts w:hint="default" w:ascii="Times New Roman" w:hAnsi="Times New Roman" w:cs="Times New Roman"/>
          <w:color w:val="auto"/>
          <w:lang w:eastAsia="zh-CN"/>
        </w:rPr>
        <w:t>最高为</w:t>
      </w:r>
      <w:r>
        <w:rPr>
          <w:rFonts w:hint="default" w:ascii="Times New Roman" w:hAnsi="Times New Roman" w:cs="Times New Roman"/>
          <w:color w:val="auto"/>
          <w:lang w:val="en-US" w:eastAsia="zh-CN"/>
        </w:rPr>
        <w:t>23.6</w:t>
      </w:r>
      <w:r>
        <w:rPr>
          <w:rFonts w:hint="default" w:ascii="Times New Roman" w:hAnsi="Times New Roman" w:cs="Times New Roman"/>
          <w:color w:val="auto"/>
        </w:rPr>
        <w:t>μSv/h</w:t>
      </w:r>
      <w:r>
        <w:rPr>
          <w:rFonts w:hint="default" w:ascii="Times New Roman" w:hAnsi="Times New Roman" w:cs="Times New Roman"/>
          <w:color w:val="auto"/>
          <w:lang w:eastAsia="zh-CN"/>
        </w:rPr>
        <w:t>，高于</w:t>
      </w:r>
      <w:r>
        <w:rPr>
          <w:rFonts w:hint="default" w:ascii="Times New Roman" w:hAnsi="Times New Roman" w:cs="Times New Roman"/>
          <w:color w:val="auto"/>
        </w:rPr>
        <w:t>《放射诊断放射防护要求》（GBZ 130-2020）中规定的限值（＜2.5μSv/h）</w:t>
      </w:r>
      <w:r>
        <w:rPr>
          <w:rFonts w:hint="default" w:ascii="Times New Roman" w:hAnsi="Times New Roman" w:cs="Times New Roman"/>
          <w:color w:val="auto"/>
          <w:lang w:eastAsia="zh-CN"/>
        </w:rPr>
        <w:t>，另外</w:t>
      </w:r>
      <w:r>
        <w:rPr>
          <w:rFonts w:hint="default" w:ascii="Times New Roman" w:hAnsi="Times New Roman" w:cs="Times New Roman"/>
          <w:color w:val="auto"/>
          <w:lang w:val="en-US" w:eastAsia="zh-CN"/>
        </w:rPr>
        <w:t>2家医院剂量率值均在限值以下</w:t>
      </w:r>
      <w:r>
        <w:rPr>
          <w:rFonts w:hint="default" w:ascii="Times New Roman" w:hAnsi="Times New Roman" w:cs="Times New Roman"/>
          <w:color w:val="auto"/>
        </w:rPr>
        <w:t>。监测到企业工厂</w:t>
      </w:r>
      <w:r>
        <w:rPr>
          <w:rFonts w:hint="default" w:ascii="Times New Roman" w:hAnsi="Times New Roman" w:cs="Times New Roman"/>
          <w:color w:val="auto"/>
          <w:lang w:val="en-US" w:eastAsia="zh-CN"/>
        </w:rPr>
        <w:t>7</w:t>
      </w:r>
      <w:r>
        <w:rPr>
          <w:rFonts w:hint="default" w:ascii="Times New Roman" w:hAnsi="Times New Roman" w:cs="Times New Roman"/>
          <w:color w:val="auto"/>
        </w:rPr>
        <w:t>家单位的其他类设备（探伤机），其对应探伤室屏蔽体外30cm处的剂量率均满足《工业X射线探伤放射防护要求》（GBZ 117-2015）中规定的限值（＜2.5μSv/h）。</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仿宋" w:cs="Times New Roman"/>
          <w:color w:val="auto"/>
          <w:lang w:eastAsia="zh-CN"/>
        </w:rPr>
      </w:pPr>
      <w:r>
        <w:rPr>
          <w:rFonts w:hint="default" w:ascii="Times New Roman" w:hAnsi="Times New Roman" w:eastAsia="仿宋" w:cs="Times New Roman"/>
          <w:color w:val="auto"/>
          <w:lang w:eastAsia="zh-CN"/>
        </w:rPr>
        <w:drawing>
          <wp:inline distT="0" distB="0" distL="114300" distR="114300">
            <wp:extent cx="5271135" cy="3738245"/>
            <wp:effectExtent l="0" t="0" r="5715" b="14605"/>
            <wp:docPr id="14" name="图片 14" descr="其他类剂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其他类剂量图"/>
                    <pic:cNvPicPr>
                      <a:picLocks noChangeAspect="1"/>
                    </pic:cNvPicPr>
                  </pic:nvPicPr>
                  <pic:blipFill>
                    <a:blip r:embed="rId17"/>
                    <a:stretch>
                      <a:fillRect/>
                    </a:stretch>
                  </pic:blipFill>
                  <pic:spPr>
                    <a:xfrm>
                      <a:off x="0" y="0"/>
                      <a:ext cx="5271135" cy="3738245"/>
                    </a:xfrm>
                    <a:prstGeom prst="rect">
                      <a:avLst/>
                    </a:prstGeom>
                  </pic:spPr>
                </pic:pic>
              </a:graphicData>
            </a:graphic>
          </wp:inline>
        </w:drawing>
      </w:r>
    </w:p>
    <w:p>
      <w:pPr>
        <w:spacing w:line="240" w:lineRule="auto"/>
        <w:ind w:right="-602" w:rightChars="-215" w:firstLine="0" w:firstLineChars="0"/>
        <w:jc w:val="center"/>
        <w:rPr>
          <w:rFonts w:hint="default" w:ascii="Times New Roman" w:hAnsi="Times New Roman" w:eastAsia="黑体" w:cs="Times New Roman"/>
          <w:color w:val="auto"/>
          <w:sz w:val="24"/>
          <w:szCs w:val="22"/>
        </w:rPr>
      </w:pPr>
      <w:r>
        <w:rPr>
          <w:rFonts w:hint="default" w:ascii="Times New Roman" w:hAnsi="Times New Roman" w:eastAsia="黑体" w:cs="Times New Roman"/>
          <w:color w:val="auto"/>
          <w:sz w:val="24"/>
          <w:szCs w:val="22"/>
        </w:rPr>
        <w:t>图</w:t>
      </w:r>
      <w:r>
        <w:rPr>
          <w:rFonts w:hint="default" w:ascii="Times New Roman" w:hAnsi="Times New Roman" w:eastAsia="黑体" w:cs="Times New Roman"/>
          <w:color w:val="auto"/>
          <w:sz w:val="24"/>
          <w:szCs w:val="22"/>
          <w:lang w:val="en-US" w:eastAsia="zh-CN"/>
        </w:rPr>
        <w:t>6</w:t>
      </w:r>
      <w:r>
        <w:rPr>
          <w:rFonts w:hint="default" w:ascii="Times New Roman" w:hAnsi="Times New Roman" w:eastAsia="黑体" w:cs="Times New Roman"/>
          <w:color w:val="auto"/>
          <w:sz w:val="24"/>
          <w:szCs w:val="22"/>
        </w:rPr>
        <w:t>-4  其他类最高剂量率与标准限值对比图</w:t>
      </w:r>
    </w:p>
    <w:p>
      <w:pPr>
        <w:pStyle w:val="5"/>
        <w:ind w:left="0" w:leftChars="0" w:firstLine="0" w:firstLineChars="0"/>
        <w:rPr>
          <w:rFonts w:hint="default" w:ascii="Times New Roman" w:hAnsi="Times New Roman" w:cs="Times New Roman"/>
          <w:color w:val="auto"/>
        </w:rPr>
      </w:pPr>
      <w:bookmarkStart w:id="52" w:name="_Toc15628"/>
      <w:r>
        <w:rPr>
          <w:rFonts w:hint="default" w:ascii="Times New Roman" w:hAnsi="Times New Roman" w:cs="Times New Roman"/>
          <w:color w:val="auto"/>
        </w:rPr>
        <w:t>6.2.3 5G通信基站</w:t>
      </w:r>
      <w:bookmarkEnd w:id="52"/>
    </w:p>
    <w:p>
      <w:pPr>
        <w:ind w:firstLine="560"/>
        <w:rPr>
          <w:rFonts w:hint="default" w:ascii="Times New Roman" w:hAnsi="Times New Roman" w:cs="Times New Roman"/>
          <w:color w:val="auto"/>
        </w:rPr>
      </w:pPr>
      <w:r>
        <w:rPr>
          <w:rFonts w:hint="default" w:ascii="Times New Roman" w:hAnsi="Times New Roman" w:cs="Times New Roman"/>
          <w:color w:val="auto"/>
        </w:rPr>
        <w:t>本项目共对</w:t>
      </w:r>
      <w:r>
        <w:rPr>
          <w:rFonts w:hint="default" w:ascii="Times New Roman" w:hAnsi="Times New Roman" w:cs="Times New Roman"/>
          <w:color w:val="auto"/>
          <w:lang w:val="en-US" w:eastAsia="zh-CN"/>
        </w:rPr>
        <w:t>20</w:t>
      </w:r>
      <w:r>
        <w:rPr>
          <w:rFonts w:hint="default" w:ascii="Times New Roman" w:hAnsi="Times New Roman" w:cs="Times New Roman"/>
          <w:color w:val="auto"/>
        </w:rPr>
        <w:t>座5G通讯基站进行了电磁辐射监测，监测结果</w:t>
      </w:r>
      <w:r>
        <w:rPr>
          <w:rFonts w:hint="default" w:ascii="Times New Roman" w:hAnsi="Times New Roman" w:cs="Times New Roman"/>
          <w:color w:val="auto"/>
          <w:lang w:eastAsia="zh-CN"/>
        </w:rPr>
        <w:t>如图</w:t>
      </w:r>
      <w:r>
        <w:rPr>
          <w:rFonts w:hint="default" w:ascii="Times New Roman" w:hAnsi="Times New Roman" w:cs="Times New Roman"/>
          <w:color w:val="auto"/>
          <w:lang w:val="en-US" w:eastAsia="zh-CN"/>
        </w:rPr>
        <w:t>6-5和6-6所</w:t>
      </w:r>
      <w:r>
        <w:rPr>
          <w:rFonts w:hint="default" w:ascii="Times New Roman" w:hAnsi="Times New Roman" w:cs="Times New Roman"/>
          <w:color w:val="auto"/>
        </w:rPr>
        <w:t>示，中国移动通讯基站周边功率密度测量值</w:t>
      </w:r>
      <w:r>
        <w:rPr>
          <w:rFonts w:hint="default" w:ascii="Times New Roman" w:hAnsi="Times New Roman" w:cs="Times New Roman"/>
          <w:color w:val="auto"/>
          <w:szCs w:val="28"/>
        </w:rPr>
        <w:t>在0.0</w:t>
      </w:r>
      <w:r>
        <w:rPr>
          <w:rFonts w:hint="default" w:ascii="Times New Roman" w:hAnsi="Times New Roman" w:cs="Times New Roman"/>
          <w:color w:val="auto"/>
          <w:szCs w:val="28"/>
          <w:lang w:val="en-US" w:eastAsia="zh-CN"/>
        </w:rPr>
        <w:t>17</w:t>
      </w:r>
      <w:r>
        <w:rPr>
          <w:rFonts w:hint="default" w:ascii="Times New Roman" w:hAnsi="Times New Roman" w:cs="Times New Roman"/>
          <w:color w:val="auto"/>
          <w:szCs w:val="28"/>
        </w:rPr>
        <w:t>~</w:t>
      </w:r>
      <w:r>
        <w:rPr>
          <w:rFonts w:hint="default" w:ascii="Times New Roman" w:hAnsi="Times New Roman" w:cs="Times New Roman"/>
          <w:color w:val="auto"/>
          <w:szCs w:val="28"/>
          <w:lang w:val="en-US" w:eastAsia="zh-CN"/>
        </w:rPr>
        <w:t>2.41</w:t>
      </w:r>
      <w:r>
        <w:rPr>
          <w:rFonts w:hint="default" w:ascii="Times New Roman" w:hAnsi="Times New Roman" w:cs="Times New Roman"/>
          <w:color w:val="auto"/>
          <w:szCs w:val="28"/>
        </w:rPr>
        <w:t>µW/cm</w:t>
      </w:r>
      <w:r>
        <w:rPr>
          <w:rFonts w:hint="default" w:ascii="Times New Roman" w:hAnsi="Times New Roman" w:cs="Times New Roman"/>
          <w:color w:val="auto"/>
          <w:szCs w:val="28"/>
          <w:vertAlign w:val="superscript"/>
        </w:rPr>
        <w:t>2</w:t>
      </w:r>
      <w:r>
        <w:rPr>
          <w:rFonts w:hint="default" w:ascii="Times New Roman" w:hAnsi="Times New Roman" w:cs="Times New Roman"/>
          <w:color w:val="auto"/>
          <w:szCs w:val="28"/>
        </w:rPr>
        <w:t>之间，</w:t>
      </w:r>
      <w:r>
        <w:rPr>
          <w:rFonts w:hint="default" w:ascii="Times New Roman" w:hAnsi="Times New Roman" w:cs="Times New Roman"/>
          <w:color w:val="auto"/>
        </w:rPr>
        <w:t>中国联通和中国电信共建通讯基站周边功率密度测量值</w:t>
      </w:r>
      <w:r>
        <w:rPr>
          <w:rFonts w:hint="default" w:ascii="Times New Roman" w:hAnsi="Times New Roman" w:cs="Times New Roman"/>
          <w:color w:val="auto"/>
          <w:szCs w:val="28"/>
        </w:rPr>
        <w:t>在0.00</w:t>
      </w:r>
      <w:r>
        <w:rPr>
          <w:rFonts w:hint="default" w:ascii="Times New Roman" w:hAnsi="Times New Roman" w:cs="Times New Roman"/>
          <w:color w:val="auto"/>
          <w:szCs w:val="28"/>
          <w:lang w:val="en-US" w:eastAsia="zh-CN"/>
        </w:rPr>
        <w:t>2</w:t>
      </w:r>
      <w:r>
        <w:rPr>
          <w:rFonts w:hint="default" w:ascii="Times New Roman" w:hAnsi="Times New Roman" w:cs="Times New Roman"/>
          <w:color w:val="auto"/>
          <w:szCs w:val="28"/>
        </w:rPr>
        <w:t>~</w:t>
      </w:r>
      <w:r>
        <w:rPr>
          <w:rFonts w:hint="default" w:ascii="Times New Roman" w:hAnsi="Times New Roman" w:cs="Times New Roman"/>
          <w:color w:val="auto"/>
          <w:szCs w:val="28"/>
          <w:lang w:val="en-US" w:eastAsia="zh-CN"/>
        </w:rPr>
        <w:t>0.666</w:t>
      </w:r>
      <w:r>
        <w:rPr>
          <w:rFonts w:hint="default" w:ascii="Times New Roman" w:hAnsi="Times New Roman" w:cs="Times New Roman"/>
          <w:color w:val="auto"/>
          <w:szCs w:val="28"/>
        </w:rPr>
        <w:t>µW/cm</w:t>
      </w:r>
      <w:r>
        <w:rPr>
          <w:rFonts w:hint="default" w:ascii="Times New Roman" w:hAnsi="Times New Roman" w:cs="Times New Roman"/>
          <w:color w:val="auto"/>
          <w:szCs w:val="28"/>
          <w:vertAlign w:val="superscript"/>
        </w:rPr>
        <w:t>2</w:t>
      </w:r>
      <w:r>
        <w:rPr>
          <w:rFonts w:hint="default" w:ascii="Times New Roman" w:hAnsi="Times New Roman" w:cs="Times New Roman"/>
          <w:color w:val="auto"/>
          <w:szCs w:val="28"/>
        </w:rPr>
        <w:t>之间，均低于</w:t>
      </w:r>
      <w:r>
        <w:rPr>
          <w:rFonts w:hint="default" w:ascii="Times New Roman" w:hAnsi="Times New Roman" w:cs="Times New Roman"/>
          <w:color w:val="auto"/>
        </w:rPr>
        <w:t>《电磁环境控制限值》（GB 8702-2014）中规定的限值要求。</w:t>
      </w:r>
    </w:p>
    <w:p>
      <w:pPr>
        <w:pStyle w:val="2"/>
        <w:ind w:left="0" w:leftChars="0" w:firstLine="0" w:firstLineChars="0"/>
        <w:rPr>
          <w:rFonts w:hint="default" w:ascii="Times New Roman" w:hAnsi="Times New Roman" w:eastAsia="仿宋" w:cs="Times New Roman"/>
          <w:color w:val="auto"/>
          <w:lang w:eastAsia="zh-CN"/>
        </w:rPr>
      </w:pPr>
      <w:r>
        <w:rPr>
          <w:rFonts w:hint="default" w:ascii="Times New Roman" w:hAnsi="Times New Roman" w:eastAsia="仿宋" w:cs="Times New Roman"/>
          <w:color w:val="auto"/>
          <w:lang w:eastAsia="zh-CN"/>
        </w:rPr>
        <w:drawing>
          <wp:inline distT="0" distB="0" distL="114300" distR="114300">
            <wp:extent cx="5268595" cy="3926205"/>
            <wp:effectExtent l="0" t="0" r="8255" b="17145"/>
            <wp:docPr id="1" name="图片 1" descr="移动通信电磁辐射监测结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移动通信电磁辐射监测结果"/>
                    <pic:cNvPicPr>
                      <a:picLocks noChangeAspect="1"/>
                    </pic:cNvPicPr>
                  </pic:nvPicPr>
                  <pic:blipFill>
                    <a:blip r:embed="rId18"/>
                    <a:stretch>
                      <a:fillRect/>
                    </a:stretch>
                  </pic:blipFill>
                  <pic:spPr>
                    <a:xfrm>
                      <a:off x="0" y="0"/>
                      <a:ext cx="5268595" cy="3926205"/>
                    </a:xfrm>
                    <a:prstGeom prst="rect">
                      <a:avLst/>
                    </a:prstGeom>
                  </pic:spPr>
                </pic:pic>
              </a:graphicData>
            </a:graphic>
          </wp:inline>
        </w:drawing>
      </w:r>
    </w:p>
    <w:p>
      <w:pPr>
        <w:pStyle w:val="2"/>
        <w:ind w:left="0" w:leftChars="0" w:firstLine="0" w:firstLineChars="0"/>
        <w:jc w:val="center"/>
        <w:rPr>
          <w:rFonts w:hint="default" w:ascii="Times New Roman" w:hAnsi="Times New Roman" w:eastAsia="黑体" w:cs="Times New Roman"/>
          <w:color w:val="auto"/>
          <w:sz w:val="24"/>
          <w:szCs w:val="22"/>
        </w:rPr>
      </w:pPr>
      <w:r>
        <w:rPr>
          <w:rFonts w:hint="default" w:ascii="Times New Roman" w:hAnsi="Times New Roman" w:eastAsia="黑体" w:cs="Times New Roman"/>
          <w:color w:val="auto"/>
          <w:sz w:val="24"/>
          <w:szCs w:val="22"/>
        </w:rPr>
        <w:t>图</w:t>
      </w:r>
      <w:r>
        <w:rPr>
          <w:rFonts w:hint="default" w:ascii="Times New Roman" w:hAnsi="Times New Roman" w:eastAsia="黑体" w:cs="Times New Roman"/>
          <w:color w:val="auto"/>
          <w:sz w:val="24"/>
          <w:szCs w:val="22"/>
          <w:lang w:val="en-US" w:eastAsia="zh-CN"/>
        </w:rPr>
        <w:t>6</w:t>
      </w:r>
      <w:r>
        <w:rPr>
          <w:rFonts w:hint="default" w:ascii="Times New Roman" w:hAnsi="Times New Roman" w:eastAsia="黑体" w:cs="Times New Roman"/>
          <w:color w:val="auto"/>
          <w:sz w:val="24"/>
          <w:szCs w:val="22"/>
        </w:rPr>
        <w:t>-</w:t>
      </w:r>
      <w:r>
        <w:rPr>
          <w:rFonts w:hint="default" w:ascii="Times New Roman" w:hAnsi="Times New Roman" w:eastAsia="黑体" w:cs="Times New Roman"/>
          <w:color w:val="auto"/>
          <w:sz w:val="24"/>
          <w:szCs w:val="22"/>
          <w:lang w:val="en-US" w:eastAsia="zh-CN"/>
        </w:rPr>
        <w:t>5</w:t>
      </w:r>
      <w:r>
        <w:rPr>
          <w:rFonts w:hint="default" w:ascii="Times New Roman" w:hAnsi="Times New Roman" w:eastAsia="黑体" w:cs="Times New Roman"/>
          <w:color w:val="auto"/>
          <w:sz w:val="24"/>
          <w:szCs w:val="22"/>
        </w:rPr>
        <w:t xml:space="preserve">  </w:t>
      </w:r>
      <w:r>
        <w:rPr>
          <w:rFonts w:hint="default" w:ascii="Times New Roman" w:hAnsi="Times New Roman" w:eastAsia="黑体" w:cs="Times New Roman"/>
          <w:color w:val="auto"/>
          <w:sz w:val="24"/>
          <w:szCs w:val="22"/>
          <w:lang w:eastAsia="zh-CN"/>
        </w:rPr>
        <w:t>移动通信基站</w:t>
      </w:r>
      <w:r>
        <w:rPr>
          <w:rFonts w:hint="default" w:ascii="Times New Roman" w:hAnsi="Times New Roman" w:eastAsia="黑体" w:cs="Times New Roman"/>
          <w:color w:val="auto"/>
          <w:sz w:val="24"/>
          <w:szCs w:val="22"/>
        </w:rPr>
        <w:t>最高</w:t>
      </w:r>
      <w:r>
        <w:rPr>
          <w:rFonts w:hint="default" w:ascii="Times New Roman" w:hAnsi="Times New Roman" w:eastAsia="黑体" w:cs="Times New Roman"/>
          <w:color w:val="auto"/>
          <w:sz w:val="24"/>
          <w:szCs w:val="22"/>
          <w:lang w:eastAsia="zh-CN"/>
        </w:rPr>
        <w:t>功率密度</w:t>
      </w:r>
      <w:r>
        <w:rPr>
          <w:rFonts w:hint="default" w:ascii="Times New Roman" w:hAnsi="Times New Roman" w:eastAsia="黑体" w:cs="Times New Roman"/>
          <w:color w:val="auto"/>
          <w:sz w:val="24"/>
          <w:szCs w:val="22"/>
        </w:rPr>
        <w:t>与标准限值对比图</w:t>
      </w:r>
    </w:p>
    <w:p>
      <w:pPr>
        <w:pStyle w:val="2"/>
        <w:ind w:left="0" w:leftChars="0" w:firstLine="0" w:firstLineChars="0"/>
        <w:jc w:val="center"/>
        <w:rPr>
          <w:rFonts w:hint="default" w:ascii="Times New Roman" w:hAnsi="Times New Roman" w:eastAsia="黑体" w:cs="Times New Roman"/>
          <w:color w:val="auto"/>
          <w:sz w:val="24"/>
          <w:szCs w:val="22"/>
          <w:lang w:eastAsia="zh-CN"/>
        </w:rPr>
      </w:pPr>
      <w:r>
        <w:rPr>
          <w:rFonts w:hint="default" w:ascii="Times New Roman" w:hAnsi="Times New Roman" w:eastAsia="黑体" w:cs="Times New Roman"/>
          <w:color w:val="auto"/>
          <w:sz w:val="24"/>
          <w:szCs w:val="22"/>
          <w:lang w:eastAsia="zh-CN"/>
        </w:rPr>
        <w:drawing>
          <wp:inline distT="0" distB="0" distL="114300" distR="114300">
            <wp:extent cx="5272405" cy="3658870"/>
            <wp:effectExtent l="0" t="0" r="4445" b="17780"/>
            <wp:docPr id="2" name="图片 2" descr="电信、联通共建电磁辐射监测结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电信、联通共建电磁辐射监测结果"/>
                    <pic:cNvPicPr>
                      <a:picLocks noChangeAspect="1"/>
                    </pic:cNvPicPr>
                  </pic:nvPicPr>
                  <pic:blipFill>
                    <a:blip r:embed="rId19"/>
                    <a:stretch>
                      <a:fillRect/>
                    </a:stretch>
                  </pic:blipFill>
                  <pic:spPr>
                    <a:xfrm>
                      <a:off x="0" y="0"/>
                      <a:ext cx="5272405" cy="3658870"/>
                    </a:xfrm>
                    <a:prstGeom prst="rect">
                      <a:avLst/>
                    </a:prstGeom>
                  </pic:spPr>
                </pic:pic>
              </a:graphicData>
            </a:graphic>
          </wp:inline>
        </w:drawing>
      </w:r>
    </w:p>
    <w:p>
      <w:pPr>
        <w:pStyle w:val="2"/>
        <w:ind w:left="0" w:leftChars="0" w:firstLine="0" w:firstLineChars="0"/>
        <w:jc w:val="center"/>
        <w:rPr>
          <w:rFonts w:hint="default" w:ascii="Times New Roman" w:hAnsi="Times New Roman" w:eastAsia="黑体" w:cs="Times New Roman"/>
          <w:color w:val="auto"/>
          <w:sz w:val="24"/>
          <w:szCs w:val="22"/>
          <w:lang w:eastAsia="zh-CN"/>
        </w:rPr>
      </w:pPr>
      <w:r>
        <w:rPr>
          <w:rFonts w:hint="default" w:ascii="Times New Roman" w:hAnsi="Times New Roman" w:eastAsia="黑体" w:cs="Times New Roman"/>
          <w:color w:val="auto"/>
          <w:sz w:val="24"/>
          <w:szCs w:val="22"/>
        </w:rPr>
        <w:t>图</w:t>
      </w:r>
      <w:r>
        <w:rPr>
          <w:rFonts w:hint="default" w:ascii="Times New Roman" w:hAnsi="Times New Roman" w:eastAsia="黑体" w:cs="Times New Roman"/>
          <w:color w:val="auto"/>
          <w:sz w:val="24"/>
          <w:szCs w:val="22"/>
          <w:lang w:val="en-US" w:eastAsia="zh-CN"/>
        </w:rPr>
        <w:t>6</w:t>
      </w:r>
      <w:r>
        <w:rPr>
          <w:rFonts w:hint="default" w:ascii="Times New Roman" w:hAnsi="Times New Roman" w:eastAsia="黑体" w:cs="Times New Roman"/>
          <w:color w:val="auto"/>
          <w:sz w:val="24"/>
          <w:szCs w:val="22"/>
        </w:rPr>
        <w:t>-</w:t>
      </w:r>
      <w:r>
        <w:rPr>
          <w:rFonts w:hint="eastAsia" w:ascii="Times New Roman" w:hAnsi="Times New Roman" w:eastAsia="黑体" w:cs="Times New Roman"/>
          <w:color w:val="auto"/>
          <w:sz w:val="24"/>
          <w:szCs w:val="22"/>
          <w:lang w:val="en-US" w:eastAsia="zh-CN"/>
        </w:rPr>
        <w:t>6</w:t>
      </w:r>
      <w:r>
        <w:rPr>
          <w:rFonts w:hint="default" w:ascii="Times New Roman" w:hAnsi="Times New Roman" w:eastAsia="黑体" w:cs="Times New Roman"/>
          <w:color w:val="auto"/>
          <w:sz w:val="24"/>
          <w:szCs w:val="22"/>
        </w:rPr>
        <w:t xml:space="preserve">  </w:t>
      </w:r>
      <w:r>
        <w:rPr>
          <w:rFonts w:hint="default" w:ascii="Times New Roman" w:hAnsi="Times New Roman" w:eastAsia="黑体" w:cs="Times New Roman"/>
          <w:color w:val="auto"/>
          <w:sz w:val="24"/>
          <w:szCs w:val="22"/>
          <w:lang w:eastAsia="zh-CN"/>
        </w:rPr>
        <w:t>电信、联通共建基站</w:t>
      </w:r>
      <w:r>
        <w:rPr>
          <w:rFonts w:hint="default" w:ascii="Times New Roman" w:hAnsi="Times New Roman" w:eastAsia="黑体" w:cs="Times New Roman"/>
          <w:color w:val="auto"/>
          <w:sz w:val="24"/>
          <w:szCs w:val="22"/>
        </w:rPr>
        <w:t>最高</w:t>
      </w:r>
      <w:r>
        <w:rPr>
          <w:rFonts w:hint="default" w:ascii="Times New Roman" w:hAnsi="Times New Roman" w:eastAsia="黑体" w:cs="Times New Roman"/>
          <w:color w:val="auto"/>
          <w:sz w:val="24"/>
          <w:szCs w:val="22"/>
          <w:lang w:eastAsia="zh-CN"/>
        </w:rPr>
        <w:t>功率密度</w:t>
      </w:r>
      <w:r>
        <w:rPr>
          <w:rFonts w:hint="default" w:ascii="Times New Roman" w:hAnsi="Times New Roman" w:eastAsia="黑体" w:cs="Times New Roman"/>
          <w:color w:val="auto"/>
          <w:sz w:val="24"/>
          <w:szCs w:val="22"/>
        </w:rPr>
        <w:t>与标准限值对比图</w:t>
      </w:r>
    </w:p>
    <w:p>
      <w:pPr>
        <w:pStyle w:val="4"/>
        <w:ind w:left="0" w:leftChars="0" w:firstLine="0" w:firstLineChars="0"/>
        <w:rPr>
          <w:rFonts w:hint="default" w:ascii="Times New Roman" w:hAnsi="Times New Roman" w:cs="Times New Roman"/>
          <w:color w:val="auto"/>
        </w:rPr>
      </w:pPr>
      <w:bookmarkStart w:id="53" w:name="_Toc20079"/>
      <w:r>
        <w:rPr>
          <w:rFonts w:hint="default" w:ascii="Times New Roman" w:hAnsi="Times New Roman" w:cs="Times New Roman"/>
          <w:color w:val="auto"/>
        </w:rPr>
        <w:t>6.3 监测结论</w:t>
      </w:r>
      <w:bookmarkEnd w:id="53"/>
    </w:p>
    <w:p>
      <w:pPr>
        <w:ind w:firstLine="560"/>
        <w:rPr>
          <w:rFonts w:hint="default" w:ascii="Times New Roman" w:hAnsi="Times New Roman" w:cs="Times New Roman"/>
          <w:color w:val="auto"/>
          <w:szCs w:val="28"/>
        </w:rPr>
      </w:pPr>
      <w:r>
        <w:rPr>
          <w:rFonts w:hint="default" w:ascii="Times New Roman" w:hAnsi="Times New Roman" w:cs="Times New Roman"/>
          <w:color w:val="auto"/>
        </w:rPr>
        <w:t>本项目共监测了</w:t>
      </w:r>
      <w:r>
        <w:rPr>
          <w:rFonts w:hint="default" w:ascii="Times New Roman" w:hAnsi="Times New Roman" w:cs="Times New Roman"/>
          <w:color w:val="auto"/>
          <w:lang w:val="en-US" w:eastAsia="zh-CN"/>
        </w:rPr>
        <w:t>4</w:t>
      </w:r>
      <w:r>
        <w:rPr>
          <w:rFonts w:hint="default" w:ascii="Times New Roman" w:hAnsi="Times New Roman" w:cs="Times New Roman"/>
          <w:color w:val="auto"/>
        </w:rPr>
        <w:t>家使用密封放射源核技术利用单位，共监测放射源共有</w:t>
      </w:r>
      <w:r>
        <w:rPr>
          <w:rFonts w:hint="default" w:ascii="Times New Roman" w:hAnsi="Times New Roman" w:cs="Times New Roman"/>
          <w:color w:val="auto"/>
          <w:lang w:val="en-US" w:eastAsia="zh-CN"/>
        </w:rPr>
        <w:t>12</w:t>
      </w:r>
      <w:r>
        <w:rPr>
          <w:rFonts w:hint="default" w:ascii="Times New Roman" w:hAnsi="Times New Roman" w:cs="Times New Roman"/>
          <w:color w:val="auto"/>
        </w:rPr>
        <w:t>枚。</w:t>
      </w:r>
      <w:r>
        <w:rPr>
          <w:rFonts w:hint="default" w:ascii="Times New Roman" w:hAnsi="Times New Roman" w:cs="Times New Roman"/>
          <w:color w:val="auto"/>
          <w:lang w:val="en-US" w:eastAsia="zh-CN"/>
        </w:rPr>
        <w:t>4</w:t>
      </w:r>
      <w:r>
        <w:rPr>
          <w:rFonts w:hint="default" w:ascii="Times New Roman" w:hAnsi="Times New Roman" w:cs="Times New Roman"/>
          <w:color w:val="auto"/>
        </w:rPr>
        <w:t>家密封放射源核技术利用单位的放射源的监测结果均在《含密封源仪表的放射卫生防护要求》（GBZ 125-2009）规定的限值内。</w:t>
      </w:r>
    </w:p>
    <w:p>
      <w:pPr>
        <w:ind w:firstLine="560"/>
        <w:rPr>
          <w:rFonts w:hint="default" w:ascii="Times New Roman" w:hAnsi="Times New Roman" w:eastAsia="仿宋" w:cs="Times New Roman"/>
          <w:color w:val="auto"/>
          <w:szCs w:val="28"/>
          <w:lang w:eastAsia="zh-CN"/>
        </w:rPr>
      </w:pPr>
      <w:r>
        <w:rPr>
          <w:rFonts w:hint="default" w:ascii="Times New Roman" w:hAnsi="Times New Roman" w:cs="Times New Roman"/>
          <w:color w:val="auto"/>
        </w:rPr>
        <w:t>本项目</w:t>
      </w:r>
      <w:r>
        <w:rPr>
          <w:rFonts w:hint="default" w:ascii="Times New Roman" w:hAnsi="Times New Roman" w:cs="Times New Roman"/>
          <w:color w:val="auto"/>
          <w:szCs w:val="28"/>
        </w:rPr>
        <w:t>共监测</w:t>
      </w:r>
      <w:r>
        <w:rPr>
          <w:rFonts w:hint="default" w:ascii="Times New Roman" w:hAnsi="Times New Roman" w:cs="Times New Roman"/>
          <w:color w:val="auto"/>
          <w:szCs w:val="28"/>
          <w:lang w:val="en-US" w:eastAsia="zh-CN"/>
        </w:rPr>
        <w:t>10</w:t>
      </w:r>
      <w:r>
        <w:rPr>
          <w:rFonts w:hint="default" w:ascii="Times New Roman" w:hAnsi="Times New Roman" w:cs="Times New Roman"/>
          <w:color w:val="auto"/>
          <w:szCs w:val="28"/>
        </w:rPr>
        <w:t>家使用射线装置核技术利用单位，共监测射线装置共有</w:t>
      </w:r>
      <w:r>
        <w:rPr>
          <w:rFonts w:hint="default" w:ascii="Times New Roman" w:hAnsi="Times New Roman" w:cs="Times New Roman"/>
          <w:color w:val="auto"/>
          <w:szCs w:val="28"/>
          <w:lang w:val="en-US" w:eastAsia="zh-CN"/>
        </w:rPr>
        <w:t>29</w:t>
      </w:r>
      <w:r>
        <w:rPr>
          <w:rFonts w:hint="default" w:ascii="Times New Roman" w:hAnsi="Times New Roman" w:cs="Times New Roman"/>
          <w:color w:val="auto"/>
          <w:szCs w:val="28"/>
        </w:rPr>
        <w:t>台。</w:t>
      </w:r>
      <w:r>
        <w:rPr>
          <w:rFonts w:hint="default" w:ascii="Times New Roman" w:hAnsi="Times New Roman" w:cs="Times New Roman"/>
          <w:color w:val="auto"/>
          <w:szCs w:val="28"/>
          <w:lang w:eastAsia="zh-CN"/>
        </w:rPr>
        <w:t>其中</w:t>
      </w:r>
      <w:r>
        <w:rPr>
          <w:rFonts w:hint="default" w:ascii="Times New Roman" w:hAnsi="Times New Roman" w:cs="Times New Roman"/>
          <w:color w:val="auto"/>
          <w:szCs w:val="28"/>
          <w:lang w:val="en-US" w:eastAsia="zh-CN"/>
        </w:rPr>
        <w:t>9</w:t>
      </w:r>
      <w:r>
        <w:rPr>
          <w:rFonts w:hint="default" w:ascii="Times New Roman" w:hAnsi="Times New Roman" w:cs="Times New Roman"/>
          <w:color w:val="auto"/>
          <w:szCs w:val="28"/>
        </w:rPr>
        <w:t>家使用射线装置核技术利用单位的射线装置的监测结果均在</w:t>
      </w:r>
      <w:r>
        <w:rPr>
          <w:rFonts w:hint="default" w:ascii="Times New Roman" w:hAnsi="Times New Roman" w:cs="Times New Roman"/>
          <w:color w:val="auto"/>
        </w:rPr>
        <w:t>所对应标准（《放射诊断放射防护要求》（GBZ 130-2020）、《工业X射线探伤放射防护要求》（GBZ 117-2015）</w:t>
      </w:r>
      <w:r>
        <w:rPr>
          <w:rFonts w:hint="eastAsia" w:ascii="Times New Roman" w:hAnsi="Times New Roman" w:cs="Times New Roman"/>
          <w:color w:val="auto"/>
          <w:lang w:eastAsia="zh-CN"/>
        </w:rPr>
        <w:t>）</w:t>
      </w:r>
      <w:r>
        <w:rPr>
          <w:rFonts w:hint="default" w:ascii="Times New Roman" w:hAnsi="Times New Roman" w:cs="Times New Roman"/>
          <w:color w:val="auto"/>
        </w:rPr>
        <w:t>规定的限值内</w:t>
      </w:r>
      <w:r>
        <w:rPr>
          <w:rFonts w:hint="default" w:ascii="Times New Roman" w:hAnsi="Times New Roman" w:cs="Times New Roman"/>
          <w:color w:val="auto"/>
          <w:lang w:eastAsia="zh-CN"/>
        </w:rPr>
        <w:t>，随州市中心医院</w:t>
      </w:r>
      <w:r>
        <w:rPr>
          <w:rFonts w:hint="default" w:ascii="Times New Roman" w:hAnsi="Times New Roman" w:cs="Times New Roman"/>
          <w:color w:val="auto"/>
        </w:rPr>
        <w:t>的其他类设备，其对应机房屏蔽体外30cm处的剂量率</w:t>
      </w:r>
      <w:r>
        <w:rPr>
          <w:rFonts w:hint="default" w:ascii="Times New Roman" w:hAnsi="Times New Roman" w:cs="Times New Roman"/>
          <w:color w:val="auto"/>
          <w:lang w:eastAsia="zh-CN"/>
        </w:rPr>
        <w:t>最高为</w:t>
      </w:r>
      <w:r>
        <w:rPr>
          <w:rFonts w:hint="default" w:ascii="Times New Roman" w:hAnsi="Times New Roman" w:cs="Times New Roman"/>
          <w:color w:val="auto"/>
          <w:lang w:val="en-US" w:eastAsia="zh-CN"/>
        </w:rPr>
        <w:t>23.6</w:t>
      </w:r>
      <w:r>
        <w:rPr>
          <w:rFonts w:hint="default" w:ascii="Times New Roman" w:hAnsi="Times New Roman" w:cs="Times New Roman"/>
          <w:color w:val="auto"/>
        </w:rPr>
        <w:t>μSv/h</w:t>
      </w:r>
      <w:r>
        <w:rPr>
          <w:rFonts w:hint="default" w:ascii="Times New Roman" w:hAnsi="Times New Roman" w:cs="Times New Roman"/>
          <w:color w:val="auto"/>
          <w:lang w:eastAsia="zh-CN"/>
        </w:rPr>
        <w:t>，高于</w:t>
      </w:r>
      <w:r>
        <w:rPr>
          <w:rFonts w:hint="default" w:ascii="Times New Roman" w:hAnsi="Times New Roman" w:cs="Times New Roman"/>
          <w:color w:val="auto"/>
        </w:rPr>
        <w:t>《放射诊断放射防护要求》（GBZ 130-2020）中规定的限值（＜2.5μSv/h）</w:t>
      </w:r>
      <w:r>
        <w:rPr>
          <w:rFonts w:hint="default" w:ascii="Times New Roman" w:hAnsi="Times New Roman" w:cs="Times New Roman"/>
          <w:color w:val="auto"/>
          <w:lang w:eastAsia="zh-CN"/>
        </w:rPr>
        <w:t>。</w:t>
      </w:r>
    </w:p>
    <w:p>
      <w:pPr>
        <w:ind w:firstLine="560"/>
        <w:rPr>
          <w:rFonts w:hint="default" w:ascii="Times New Roman" w:hAnsi="Times New Roman" w:cs="Times New Roman"/>
          <w:color w:val="auto"/>
        </w:rPr>
      </w:pPr>
      <w:r>
        <w:rPr>
          <w:rFonts w:hint="default" w:ascii="Times New Roman" w:hAnsi="Times New Roman" w:cs="Times New Roman"/>
          <w:color w:val="auto"/>
        </w:rPr>
        <w:t>本项目</w:t>
      </w:r>
      <w:r>
        <w:rPr>
          <w:rFonts w:hint="default" w:ascii="Times New Roman" w:hAnsi="Times New Roman" w:cs="Times New Roman"/>
          <w:color w:val="auto"/>
          <w:szCs w:val="28"/>
        </w:rPr>
        <w:t>监测移动、</w:t>
      </w:r>
      <w:r>
        <w:rPr>
          <w:rFonts w:hint="default" w:ascii="Times New Roman" w:hAnsi="Times New Roman" w:cs="Times New Roman"/>
          <w:color w:val="auto"/>
        </w:rPr>
        <w:t>联通、电信的5G</w:t>
      </w:r>
      <w:r>
        <w:rPr>
          <w:rFonts w:hint="default" w:ascii="Times New Roman" w:hAnsi="Times New Roman" w:cs="Times New Roman"/>
          <w:color w:val="auto"/>
          <w:szCs w:val="28"/>
        </w:rPr>
        <w:t>通信</w:t>
      </w:r>
      <w:r>
        <w:rPr>
          <w:rFonts w:hint="default" w:ascii="Times New Roman" w:hAnsi="Times New Roman" w:cs="Times New Roman"/>
          <w:color w:val="auto"/>
        </w:rPr>
        <w:t>基站，共监测</w:t>
      </w:r>
      <w:r>
        <w:rPr>
          <w:rFonts w:hint="default" w:ascii="Times New Roman" w:hAnsi="Times New Roman" w:cs="Times New Roman"/>
          <w:color w:val="auto"/>
          <w:szCs w:val="28"/>
          <w:lang w:val="en-US" w:eastAsia="zh-CN"/>
        </w:rPr>
        <w:t>2</w:t>
      </w:r>
      <w:r>
        <w:rPr>
          <w:rFonts w:hint="default" w:ascii="Times New Roman" w:hAnsi="Times New Roman" w:cs="Times New Roman"/>
          <w:color w:val="auto"/>
          <w:szCs w:val="28"/>
        </w:rPr>
        <w:t>0座通信基站，</w:t>
      </w:r>
      <w:r>
        <w:rPr>
          <w:rFonts w:hint="default" w:ascii="Times New Roman" w:hAnsi="Times New Roman" w:cs="Times New Roman"/>
          <w:color w:val="auto"/>
          <w:szCs w:val="28"/>
          <w:lang w:val="en-US" w:eastAsia="zh-CN"/>
        </w:rPr>
        <w:t>2</w:t>
      </w:r>
      <w:r>
        <w:rPr>
          <w:rFonts w:hint="default" w:ascii="Times New Roman" w:hAnsi="Times New Roman" w:cs="Times New Roman"/>
          <w:color w:val="auto"/>
          <w:szCs w:val="28"/>
        </w:rPr>
        <w:t>0座通信基站的电磁辐射监测结果均在</w:t>
      </w:r>
      <w:r>
        <w:rPr>
          <w:rFonts w:hint="default" w:ascii="Times New Roman" w:hAnsi="Times New Roman" w:cs="Times New Roman"/>
          <w:color w:val="auto"/>
        </w:rPr>
        <w:t>《电磁环境控制限值》（GB 8702-2014）规定的限值内。</w:t>
      </w:r>
    </w:p>
    <w:p>
      <w:pPr>
        <w:ind w:firstLine="560"/>
        <w:rPr>
          <w:rFonts w:hint="default" w:ascii="Times New Roman" w:hAnsi="Times New Roman" w:cs="Times New Roman"/>
          <w:color w:val="auto"/>
        </w:rPr>
        <w:sectPr>
          <w:pgSz w:w="11906" w:h="16838"/>
          <w:pgMar w:top="1440" w:right="1800" w:bottom="1440" w:left="1800" w:header="851" w:footer="992" w:gutter="0"/>
          <w:cols w:space="425" w:num="1"/>
          <w:docGrid w:type="lines" w:linePitch="312" w:charSpace="0"/>
        </w:sectPr>
      </w:pPr>
    </w:p>
    <w:p>
      <w:pPr>
        <w:pStyle w:val="3"/>
        <w:ind w:left="0" w:leftChars="0" w:firstLine="0" w:firstLineChars="0"/>
        <w:rPr>
          <w:rFonts w:hint="default" w:ascii="Times New Roman" w:hAnsi="Times New Roman" w:cs="Times New Roman"/>
          <w:color w:val="auto"/>
        </w:rPr>
      </w:pPr>
      <w:bookmarkStart w:id="54" w:name="_Toc9910"/>
      <w:r>
        <w:rPr>
          <w:rFonts w:hint="default" w:ascii="Times New Roman" w:hAnsi="Times New Roman" w:cs="Times New Roman"/>
          <w:color w:val="auto"/>
        </w:rPr>
        <w:t>7辐射安全管理评估</w:t>
      </w:r>
      <w:bookmarkEnd w:id="54"/>
    </w:p>
    <w:p>
      <w:pPr>
        <w:pStyle w:val="4"/>
        <w:ind w:left="0" w:leftChars="0" w:firstLine="0" w:firstLineChars="0"/>
        <w:rPr>
          <w:rFonts w:hint="default" w:ascii="Times New Roman" w:hAnsi="Times New Roman" w:cs="Times New Roman"/>
          <w:color w:val="auto"/>
        </w:rPr>
      </w:pPr>
      <w:bookmarkStart w:id="55" w:name="_Toc5119"/>
      <w:r>
        <w:rPr>
          <w:rFonts w:hint="default" w:ascii="Times New Roman" w:hAnsi="Times New Roman" w:cs="Times New Roman"/>
          <w:color w:val="auto"/>
        </w:rPr>
        <w:t>7.1辐射安全管理现状</w:t>
      </w:r>
      <w:bookmarkEnd w:id="55"/>
    </w:p>
    <w:p>
      <w:pPr>
        <w:ind w:firstLine="560"/>
        <w:rPr>
          <w:rFonts w:hint="default" w:ascii="Times New Roman" w:hAnsi="Times New Roman" w:cs="Times New Roman"/>
          <w:color w:val="auto"/>
        </w:rPr>
      </w:pPr>
      <w:r>
        <w:rPr>
          <w:rFonts w:hint="default" w:ascii="Times New Roman" w:hAnsi="Times New Roman" w:cs="Times New Roman"/>
          <w:color w:val="auto"/>
          <w:lang w:eastAsia="zh-CN"/>
        </w:rPr>
        <w:t>随州市</w:t>
      </w:r>
      <w:r>
        <w:rPr>
          <w:rFonts w:hint="default" w:ascii="Times New Roman" w:hAnsi="Times New Roman" w:cs="Times New Roman"/>
          <w:color w:val="auto"/>
        </w:rPr>
        <w:t>辐射安全总体状况良好。</w:t>
      </w:r>
      <w:r>
        <w:rPr>
          <w:rFonts w:hint="default" w:ascii="Times New Roman" w:hAnsi="Times New Roman" w:cs="Times New Roman"/>
          <w:color w:val="auto"/>
          <w:lang w:eastAsia="zh-CN"/>
        </w:rPr>
        <w:t>此次监测中</w:t>
      </w:r>
      <w:r>
        <w:rPr>
          <w:rFonts w:hint="default" w:ascii="Times New Roman" w:hAnsi="Times New Roman" w:cs="Times New Roman"/>
          <w:color w:val="auto"/>
        </w:rPr>
        <w:t>大部分辐射工作单位环保手续齐全，辐射安全许可证许可与实际情况一致；辐射工作场所采取了一定的辐射安全防护措施，且整体防护效果较好。</w:t>
      </w:r>
    </w:p>
    <w:p>
      <w:pPr>
        <w:pStyle w:val="4"/>
        <w:ind w:left="0" w:leftChars="0" w:firstLine="0" w:firstLineChars="0"/>
        <w:rPr>
          <w:rFonts w:hint="default" w:ascii="Times New Roman" w:hAnsi="Times New Roman" w:cs="Times New Roman"/>
          <w:color w:val="auto"/>
        </w:rPr>
      </w:pPr>
      <w:bookmarkStart w:id="56" w:name="_Toc22391"/>
      <w:r>
        <w:rPr>
          <w:rFonts w:hint="default" w:ascii="Times New Roman" w:hAnsi="Times New Roman" w:cs="Times New Roman"/>
          <w:color w:val="auto"/>
        </w:rPr>
        <w:t>7.2存在的问题与不足</w:t>
      </w:r>
      <w:bookmarkEnd w:id="56"/>
    </w:p>
    <w:p>
      <w:pPr>
        <w:rPr>
          <w:rFonts w:hint="default" w:ascii="Times New Roman" w:hAnsi="Times New Roman" w:eastAsia="仿宋" w:cs="Times New Roman"/>
          <w:b/>
          <w:bCs/>
          <w:color w:val="auto"/>
        </w:rPr>
      </w:pPr>
      <w:r>
        <w:rPr>
          <w:rFonts w:hint="default" w:ascii="Times New Roman" w:hAnsi="Times New Roman" w:eastAsia="仿宋" w:cs="Times New Roman"/>
          <w:b/>
          <w:bCs/>
          <w:color w:val="auto"/>
        </w:rPr>
        <w:t>（</w:t>
      </w:r>
      <w:r>
        <w:rPr>
          <w:rFonts w:hint="default" w:ascii="Times New Roman" w:hAnsi="Times New Roman" w:cs="Times New Roman"/>
          <w:b/>
          <w:bCs/>
          <w:color w:val="auto"/>
          <w:lang w:val="en-US" w:eastAsia="zh-CN"/>
        </w:rPr>
        <w:t>1</w:t>
      </w:r>
      <w:r>
        <w:rPr>
          <w:rFonts w:hint="default" w:ascii="Times New Roman" w:hAnsi="Times New Roman" w:eastAsia="仿宋" w:cs="Times New Roman"/>
          <w:b/>
          <w:bCs/>
          <w:color w:val="auto"/>
        </w:rPr>
        <w:t>）履行环保法律法规意识有待进一步加强</w:t>
      </w:r>
    </w:p>
    <w:p>
      <w:pPr>
        <w:ind w:firstLine="560"/>
        <w:rPr>
          <w:rFonts w:hint="default" w:ascii="Times New Roman" w:hAnsi="Times New Roman" w:cs="Times New Roman"/>
          <w:color w:val="auto"/>
        </w:rPr>
      </w:pPr>
      <w:r>
        <w:rPr>
          <w:rFonts w:hint="default" w:ascii="Times New Roman" w:hAnsi="Times New Roman" w:cs="Times New Roman"/>
          <w:color w:val="auto"/>
        </w:rPr>
        <w:t>部分核技术利用单位尤其是医疗机构受卫生、环保双重管理，对环保工作的理解不到位，履行环保手续主动性不强，存在新增或更换射线装置后，未及时按要求办理辐射安全许可手续的情况。</w:t>
      </w:r>
    </w:p>
    <w:p>
      <w:pPr>
        <w:ind w:firstLine="560"/>
        <w:rPr>
          <w:rFonts w:hint="default" w:ascii="Times New Roman" w:hAnsi="Times New Roman" w:cs="Times New Roman"/>
          <w:b/>
          <w:bCs/>
          <w:color w:val="auto"/>
        </w:rPr>
      </w:pPr>
      <w:r>
        <w:rPr>
          <w:rFonts w:hint="default" w:ascii="Times New Roman" w:hAnsi="Times New Roman" w:cs="Times New Roman"/>
          <w:b/>
          <w:bCs/>
          <w:color w:val="auto"/>
        </w:rPr>
        <w:t>（</w:t>
      </w:r>
      <w:r>
        <w:rPr>
          <w:rFonts w:hint="default" w:ascii="Times New Roman" w:hAnsi="Times New Roman" w:cs="Times New Roman"/>
          <w:b/>
          <w:bCs/>
          <w:color w:val="auto"/>
          <w:lang w:val="en-US" w:eastAsia="zh-CN"/>
        </w:rPr>
        <w:t>2</w:t>
      </w:r>
      <w:r>
        <w:rPr>
          <w:rFonts w:hint="default" w:ascii="Times New Roman" w:hAnsi="Times New Roman" w:cs="Times New Roman"/>
          <w:b/>
          <w:bCs/>
          <w:color w:val="auto"/>
        </w:rPr>
        <w:t>）辐射安全与防护管理措施有待进一步完善</w:t>
      </w:r>
    </w:p>
    <w:p>
      <w:pPr>
        <w:ind w:firstLine="560"/>
        <w:rPr>
          <w:rFonts w:hint="default" w:ascii="Times New Roman" w:hAnsi="Times New Roman" w:cs="Times New Roman"/>
          <w:color w:val="auto"/>
        </w:rPr>
      </w:pPr>
      <w:r>
        <w:rPr>
          <w:rFonts w:hint="default" w:ascii="Times New Roman" w:hAnsi="Times New Roman" w:cs="Times New Roman"/>
          <w:color w:val="auto"/>
          <w:lang w:eastAsia="zh-CN"/>
        </w:rPr>
        <w:t>此次监测过程中出现小部分放射医疗诊断场所剂量值超出标准限值，说明近期由于疫情放开放射诊断业务激增，相关医疗机构对辐</w:t>
      </w:r>
      <w:r>
        <w:rPr>
          <w:rFonts w:hint="default" w:ascii="Times New Roman" w:hAnsi="Times New Roman" w:eastAsia="仿宋" w:cs="Times New Roman"/>
          <w:color w:val="auto"/>
          <w:lang w:eastAsia="zh-CN"/>
        </w:rPr>
        <w:t>射工作场所的日常自检和维护不到位，安全防护意识存在疏忽。</w:t>
      </w:r>
    </w:p>
    <w:p>
      <w:pPr>
        <w:pStyle w:val="4"/>
        <w:ind w:left="0" w:leftChars="0" w:firstLine="0" w:firstLineChars="0"/>
        <w:rPr>
          <w:rFonts w:hint="default" w:ascii="Times New Roman" w:hAnsi="Times New Roman" w:cs="Times New Roman"/>
          <w:color w:val="auto"/>
        </w:rPr>
      </w:pPr>
      <w:bookmarkStart w:id="57" w:name="_Toc25099"/>
      <w:r>
        <w:rPr>
          <w:rFonts w:hint="default" w:ascii="Times New Roman" w:hAnsi="Times New Roman" w:cs="Times New Roman"/>
          <w:color w:val="auto"/>
        </w:rPr>
        <w:t>7.3下一步的工作建议</w:t>
      </w:r>
      <w:bookmarkEnd w:id="57"/>
    </w:p>
    <w:p>
      <w:pPr>
        <w:ind w:firstLine="560"/>
        <w:rPr>
          <w:rFonts w:hint="default" w:ascii="Times New Roman" w:hAnsi="Times New Roman" w:cs="Times New Roman"/>
          <w:b/>
          <w:bCs/>
          <w:color w:val="auto"/>
        </w:rPr>
      </w:pPr>
      <w:r>
        <w:rPr>
          <w:rFonts w:hint="default" w:ascii="Times New Roman" w:hAnsi="Times New Roman" w:cs="Times New Roman"/>
          <w:b/>
          <w:bCs/>
          <w:color w:val="auto"/>
        </w:rPr>
        <w:t>（1）加大辐射安全文化宣传力度</w:t>
      </w:r>
    </w:p>
    <w:p>
      <w:pPr>
        <w:ind w:firstLine="560"/>
        <w:rPr>
          <w:rFonts w:hint="default" w:ascii="Times New Roman" w:hAnsi="Times New Roman" w:cs="Times New Roman"/>
          <w:color w:val="auto"/>
        </w:rPr>
      </w:pPr>
      <w:r>
        <w:rPr>
          <w:rFonts w:hint="default" w:ascii="Times New Roman" w:hAnsi="Times New Roman" w:cs="Times New Roman"/>
          <w:color w:val="auto"/>
        </w:rPr>
        <w:t>通过广播、报纸、微信公众号等平台，加强核技术利用单位企业领导层、管理人员的辐射安全法律法规宣传，增强核技术利用单位安全意识与守法意识，强化主体责任意识，建立辐射安全文化，提高核技术利用单位自我管理水平。</w:t>
      </w:r>
    </w:p>
    <w:p>
      <w:pPr>
        <w:pStyle w:val="2"/>
        <w:ind w:firstLine="560"/>
        <w:rPr>
          <w:rFonts w:hint="default" w:ascii="Times New Roman" w:hAnsi="Times New Roman" w:cs="Times New Roman"/>
          <w:b/>
          <w:bCs/>
          <w:color w:val="auto"/>
        </w:rPr>
      </w:pPr>
      <w:r>
        <w:rPr>
          <w:rFonts w:hint="default" w:ascii="Times New Roman" w:hAnsi="Times New Roman" w:cs="Times New Roman"/>
          <w:b/>
          <w:bCs/>
          <w:color w:val="auto"/>
        </w:rPr>
        <w:t>（2）强化辐射安全监督管理</w:t>
      </w:r>
    </w:p>
    <w:p>
      <w:pPr>
        <w:ind w:firstLine="560"/>
        <w:rPr>
          <w:rFonts w:hint="default" w:ascii="Times New Roman" w:hAnsi="Times New Roman" w:cs="Times New Roman"/>
          <w:color w:val="auto"/>
        </w:rPr>
      </w:pPr>
      <w:r>
        <w:rPr>
          <w:rFonts w:hint="default" w:ascii="Times New Roman" w:hAnsi="Times New Roman" w:cs="Times New Roman"/>
          <w:color w:val="auto"/>
        </w:rPr>
        <w:t>加大对</w:t>
      </w:r>
      <w:r>
        <w:rPr>
          <w:rFonts w:hint="eastAsia" w:ascii="Times New Roman" w:hAnsi="Times New Roman" w:cs="Times New Roman"/>
          <w:color w:val="auto"/>
          <w:lang w:eastAsia="zh-CN"/>
        </w:rPr>
        <w:t>核技术利用单位</w:t>
      </w:r>
      <w:r>
        <w:rPr>
          <w:rFonts w:hint="default" w:ascii="Times New Roman" w:hAnsi="Times New Roman" w:cs="Times New Roman"/>
          <w:color w:val="auto"/>
        </w:rPr>
        <w:t>的监管，加大检查力度和频次，确保</w:t>
      </w:r>
      <w:r>
        <w:rPr>
          <w:rFonts w:hint="eastAsia" w:ascii="Times New Roman" w:hAnsi="Times New Roman" w:cs="Times New Roman"/>
          <w:color w:val="auto"/>
          <w:lang w:eastAsia="zh-CN"/>
        </w:rPr>
        <w:t>辐射作业</w:t>
      </w:r>
      <w:r>
        <w:rPr>
          <w:rFonts w:hint="default" w:ascii="Times New Roman" w:hAnsi="Times New Roman" w:cs="Times New Roman"/>
          <w:color w:val="auto"/>
        </w:rPr>
        <w:t>安全，杜绝发生</w:t>
      </w:r>
      <w:r>
        <w:rPr>
          <w:rFonts w:hint="eastAsia" w:ascii="Times New Roman" w:hAnsi="Times New Roman" w:cs="Times New Roman"/>
          <w:color w:val="auto"/>
          <w:lang w:eastAsia="zh-CN"/>
        </w:rPr>
        <w:t>辐射</w:t>
      </w:r>
      <w:r>
        <w:rPr>
          <w:rFonts w:hint="default" w:ascii="Times New Roman" w:hAnsi="Times New Roman" w:cs="Times New Roman"/>
          <w:color w:val="auto"/>
        </w:rPr>
        <w:t>事故。认真开展辐射安全防护年度评估工作，督促各辐射工作按要求上报至申报系统，并及时维护系统信息。</w:t>
      </w:r>
    </w:p>
    <w:p>
      <w:pPr>
        <w:ind w:firstLine="560"/>
        <w:rPr>
          <w:rFonts w:hint="default" w:ascii="Times New Roman" w:hAnsi="Times New Roman" w:cs="Times New Roman"/>
          <w:color w:val="auto"/>
          <w:lang w:eastAsia="zh-CN"/>
        </w:rPr>
      </w:pPr>
    </w:p>
    <w:p>
      <w:pPr>
        <w:ind w:firstLine="560"/>
        <w:rPr>
          <w:rFonts w:hint="default" w:ascii="Times New Roman" w:hAnsi="Times New Roman" w:cs="Times New Roman"/>
          <w:color w:val="auto"/>
        </w:rPr>
      </w:pPr>
    </w:p>
    <w:p>
      <w:pPr>
        <w:ind w:firstLine="560"/>
        <w:rPr>
          <w:rFonts w:hint="default" w:ascii="Times New Roman" w:hAnsi="Times New Roman" w:cs="Times New Roman"/>
          <w:color w:val="auto"/>
        </w:rPr>
        <w:sectPr>
          <w:pgSz w:w="11906" w:h="16838"/>
          <w:pgMar w:top="1440" w:right="1800" w:bottom="1440" w:left="1800" w:header="851" w:footer="992" w:gutter="0"/>
          <w:cols w:space="425" w:num="1"/>
          <w:docGrid w:type="lines" w:linePitch="312" w:charSpace="0"/>
        </w:sectPr>
      </w:pPr>
    </w:p>
    <w:p>
      <w:pPr>
        <w:pStyle w:val="3"/>
        <w:bidi w:val="0"/>
        <w:ind w:left="0" w:leftChars="0" w:firstLine="0" w:firstLineChars="0"/>
        <w:rPr>
          <w:rFonts w:hint="default" w:ascii="Times New Roman" w:hAnsi="Times New Roman" w:cs="Times New Roman"/>
          <w:color w:val="auto"/>
        </w:rPr>
      </w:pPr>
      <w:bookmarkStart w:id="58" w:name="_Toc7814"/>
      <w:r>
        <w:rPr>
          <w:rFonts w:hint="default" w:ascii="Times New Roman" w:hAnsi="Times New Roman" w:cs="Times New Roman"/>
          <w:color w:val="auto"/>
          <w:sz w:val="32"/>
          <w:szCs w:val="32"/>
        </w:rPr>
        <w:t>附件</w:t>
      </w:r>
      <w:bookmarkEnd w:id="58"/>
    </w:p>
    <w:p>
      <w:pPr>
        <w:pStyle w:val="2"/>
        <w:ind w:firstLine="0" w:firstLineChars="0"/>
        <w:rPr>
          <w:rFonts w:hint="default" w:ascii="Times New Roman" w:hAnsi="Times New Roman" w:cs="Times New Roman"/>
          <w:color w:val="auto"/>
        </w:rPr>
      </w:pPr>
      <w:r>
        <w:rPr>
          <w:rFonts w:hint="default" w:ascii="Times New Roman" w:hAnsi="Times New Roman" w:cs="Times New Roman"/>
          <w:color w:val="auto"/>
        </w:rPr>
        <w:t>附件1：委托书</w:t>
      </w:r>
    </w:p>
    <w:p>
      <w:pPr>
        <w:pStyle w:val="2"/>
        <w:ind w:firstLine="0" w:firstLineChars="0"/>
        <w:rPr>
          <w:rFonts w:hint="default" w:ascii="Times New Roman" w:hAnsi="Times New Roman" w:cs="Times New Roman"/>
          <w:color w:val="auto"/>
        </w:rPr>
      </w:pPr>
      <w:r>
        <w:rPr>
          <w:rFonts w:hint="default" w:ascii="Times New Roman" w:hAnsi="Times New Roman" w:cs="Times New Roman"/>
          <w:color w:val="auto"/>
        </w:rPr>
        <w:t>附件2：监测单位CMA资质证书</w:t>
      </w:r>
    </w:p>
    <w:p>
      <w:pPr>
        <w:pStyle w:val="2"/>
        <w:ind w:firstLine="0" w:firstLineChars="0"/>
        <w:rPr>
          <w:rFonts w:hint="default" w:ascii="Times New Roman" w:hAnsi="Times New Roman" w:cs="Times New Roman"/>
          <w:color w:val="auto"/>
        </w:rPr>
      </w:pPr>
      <w:r>
        <w:rPr>
          <w:rFonts w:hint="default" w:ascii="Times New Roman" w:hAnsi="Times New Roman" w:cs="Times New Roman"/>
          <w:color w:val="auto"/>
        </w:rPr>
        <w:t>附件3：仪器检定/校准证书</w:t>
      </w:r>
    </w:p>
    <w:p>
      <w:pPr>
        <w:pStyle w:val="2"/>
        <w:ind w:firstLine="0" w:firstLineChars="0"/>
        <w:rPr>
          <w:rFonts w:hint="default" w:ascii="Times New Roman" w:hAnsi="Times New Roman" w:cs="Times New Roman"/>
          <w:color w:val="auto"/>
        </w:rPr>
      </w:pPr>
      <w:r>
        <w:rPr>
          <w:rFonts w:hint="default" w:ascii="Times New Roman" w:hAnsi="Times New Roman" w:cs="Times New Roman"/>
          <w:color w:val="auto"/>
        </w:rPr>
        <w:t>附件4-1：密封放射源核技术利用单位监测报告</w:t>
      </w:r>
    </w:p>
    <w:p>
      <w:pPr>
        <w:pStyle w:val="2"/>
        <w:ind w:firstLine="0" w:firstLineChars="0"/>
        <w:rPr>
          <w:rFonts w:hint="default" w:ascii="Times New Roman" w:hAnsi="Times New Roman" w:cs="Times New Roman"/>
          <w:color w:val="auto"/>
        </w:rPr>
      </w:pPr>
      <w:r>
        <w:rPr>
          <w:rFonts w:hint="default" w:ascii="Times New Roman" w:hAnsi="Times New Roman" w:cs="Times New Roman"/>
          <w:color w:val="auto"/>
        </w:rPr>
        <w:t>附件4-2：射线装置核技术利用单位监测报告</w:t>
      </w:r>
    </w:p>
    <w:p>
      <w:pPr>
        <w:pStyle w:val="2"/>
        <w:ind w:firstLine="0" w:firstLineChars="0"/>
        <w:rPr>
          <w:rFonts w:hint="default" w:ascii="Times New Roman" w:hAnsi="Times New Roman" w:cs="Times New Roman"/>
          <w:color w:val="auto"/>
        </w:rPr>
      </w:pPr>
      <w:r>
        <w:rPr>
          <w:rFonts w:hint="default" w:ascii="Times New Roman" w:hAnsi="Times New Roman" w:cs="Times New Roman"/>
          <w:color w:val="auto"/>
        </w:rPr>
        <w:t>附件4-3：通讯基站监测报告</w:t>
      </w:r>
    </w:p>
    <w:p>
      <w:pPr>
        <w:pStyle w:val="2"/>
        <w:ind w:firstLine="0" w:firstLineChars="0"/>
        <w:rPr>
          <w:rFonts w:hint="default" w:ascii="Times New Roman" w:hAnsi="Times New Roman" w:eastAsia="仿宋" w:cs="Times New Roman"/>
          <w:color w:val="auto"/>
          <w:lang w:val="en-US" w:eastAsia="zh-CN"/>
        </w:rPr>
      </w:pPr>
      <w:r>
        <w:rPr>
          <w:rFonts w:hint="eastAsia" w:ascii="Times New Roman" w:hAnsi="Times New Roman" w:cs="Times New Roman"/>
          <w:color w:val="auto"/>
          <w:lang w:eastAsia="zh-CN"/>
        </w:rPr>
        <w:t>附件</w:t>
      </w:r>
      <w:r>
        <w:rPr>
          <w:rFonts w:hint="eastAsia" w:ascii="Times New Roman" w:hAnsi="Times New Roman" w:cs="Times New Roman"/>
          <w:color w:val="auto"/>
          <w:lang w:val="en-US" w:eastAsia="zh-CN"/>
        </w:rPr>
        <w:t>5：现场检查记录表</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Cambria Math">
    <w:panose1 w:val="02040503050406030204"/>
    <w:charset w:val="00"/>
    <w:family w:val="roman"/>
    <w:pitch w:val="default"/>
    <w:sig w:usb0="E00002FF" w:usb1="42002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34053354"/>
      <w:docPartObj>
        <w:docPartGallery w:val="autotext"/>
      </w:docPartObj>
    </w:sdtPr>
    <w:sdtEndPr>
      <w:rPr>
        <w:rFonts w:ascii="Times New Roman" w:hAnsi="Times New Roman" w:cs="Times New Roman"/>
        <w:sz w:val="24"/>
      </w:rPr>
    </w:sdtEndPr>
    <w:sdtContent>
      <w:p>
        <w:pPr>
          <w:pStyle w:val="8"/>
          <w:ind w:firstLine="360"/>
          <w:jc w:val="center"/>
          <w:rPr>
            <w:rFonts w:ascii="Times New Roman" w:hAnsi="Times New Roman" w:cs="Times New Roman"/>
            <w:sz w:val="24"/>
          </w:rPr>
        </w:pPr>
        <w:r>
          <w:rPr>
            <w:rFonts w:ascii="Times New Roman" w:hAnsi="Times New Roman" w:cs="Times New Roman"/>
            <w:sz w:val="24"/>
          </w:rPr>
          <w:fldChar w:fldCharType="begin"/>
        </w:r>
        <w:r>
          <w:rPr>
            <w:rFonts w:ascii="Times New Roman" w:hAnsi="Times New Roman" w:cs="Times New Roman"/>
            <w:sz w:val="24"/>
          </w:rPr>
          <w:instrText xml:space="preserve">PAGE   \* MERGEFORMAT</w:instrText>
        </w:r>
        <w:r>
          <w:rPr>
            <w:rFonts w:ascii="Times New Roman" w:hAnsi="Times New Roman" w:cs="Times New Roman"/>
            <w:sz w:val="24"/>
          </w:rPr>
          <w:fldChar w:fldCharType="separate"/>
        </w:r>
        <w:r>
          <w:rPr>
            <w:rFonts w:ascii="Times New Roman" w:hAnsi="Times New Roman" w:cs="Times New Roman"/>
            <w:sz w:val="24"/>
            <w:lang w:val="zh-CN"/>
          </w:rPr>
          <w:t>1</w:t>
        </w:r>
        <w:r>
          <w:rPr>
            <w:rFonts w:ascii="Times New Roman" w:hAnsi="Times New Roman" w:cs="Times New Roman"/>
            <w:sz w:val="24"/>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5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40"/>
  <w:drawingGridVerticalSpacing w:val="381"/>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0NDcwZTVjOWU1OWFhOTUxZWQ1YWIwNjg5YjYwYmIifQ=="/>
  </w:docVars>
  <w:rsids>
    <w:rsidRoot w:val="00CE13EE"/>
    <w:rsid w:val="00080219"/>
    <w:rsid w:val="000F4B49"/>
    <w:rsid w:val="00206792"/>
    <w:rsid w:val="0023302D"/>
    <w:rsid w:val="002438E1"/>
    <w:rsid w:val="002864EE"/>
    <w:rsid w:val="00296092"/>
    <w:rsid w:val="002F6231"/>
    <w:rsid w:val="00354760"/>
    <w:rsid w:val="00386EBF"/>
    <w:rsid w:val="003C6EB4"/>
    <w:rsid w:val="00456B2B"/>
    <w:rsid w:val="00494F11"/>
    <w:rsid w:val="004C7609"/>
    <w:rsid w:val="005A4911"/>
    <w:rsid w:val="005B52E8"/>
    <w:rsid w:val="005C314D"/>
    <w:rsid w:val="005F6A3E"/>
    <w:rsid w:val="0062144F"/>
    <w:rsid w:val="006E2EE5"/>
    <w:rsid w:val="00702DFE"/>
    <w:rsid w:val="007138FA"/>
    <w:rsid w:val="00796C90"/>
    <w:rsid w:val="007D6625"/>
    <w:rsid w:val="008458EC"/>
    <w:rsid w:val="00887FBB"/>
    <w:rsid w:val="008F1F12"/>
    <w:rsid w:val="008F527C"/>
    <w:rsid w:val="00931BDB"/>
    <w:rsid w:val="00974D78"/>
    <w:rsid w:val="009F6B0E"/>
    <w:rsid w:val="00A076BA"/>
    <w:rsid w:val="00BA256C"/>
    <w:rsid w:val="00CA592B"/>
    <w:rsid w:val="00CC4C34"/>
    <w:rsid w:val="00CE13EE"/>
    <w:rsid w:val="00D26AE1"/>
    <w:rsid w:val="00D83FC1"/>
    <w:rsid w:val="00DA1CF0"/>
    <w:rsid w:val="00DB15CE"/>
    <w:rsid w:val="00E25C2B"/>
    <w:rsid w:val="00E34BFB"/>
    <w:rsid w:val="00E46EA0"/>
    <w:rsid w:val="00E54F13"/>
    <w:rsid w:val="00ED7BB8"/>
    <w:rsid w:val="00EF197B"/>
    <w:rsid w:val="00F83988"/>
    <w:rsid w:val="01347711"/>
    <w:rsid w:val="025D1D9E"/>
    <w:rsid w:val="03B830D4"/>
    <w:rsid w:val="04B96164"/>
    <w:rsid w:val="05F60D37"/>
    <w:rsid w:val="0626507B"/>
    <w:rsid w:val="07090029"/>
    <w:rsid w:val="08641801"/>
    <w:rsid w:val="08CD76D7"/>
    <w:rsid w:val="098552F6"/>
    <w:rsid w:val="0B2F53A1"/>
    <w:rsid w:val="0C2B4628"/>
    <w:rsid w:val="0C782EE0"/>
    <w:rsid w:val="0F317386"/>
    <w:rsid w:val="1229572F"/>
    <w:rsid w:val="143E4A1F"/>
    <w:rsid w:val="14D94748"/>
    <w:rsid w:val="15DE3F67"/>
    <w:rsid w:val="17D90EEF"/>
    <w:rsid w:val="1B2B63CE"/>
    <w:rsid w:val="1B5A1A13"/>
    <w:rsid w:val="1BB455C7"/>
    <w:rsid w:val="1BCF0832"/>
    <w:rsid w:val="1C2B1F74"/>
    <w:rsid w:val="1D7E5E8C"/>
    <w:rsid w:val="1DAA46C5"/>
    <w:rsid w:val="1E174695"/>
    <w:rsid w:val="1E4304C4"/>
    <w:rsid w:val="1E5F4521"/>
    <w:rsid w:val="1EAD6429"/>
    <w:rsid w:val="1EEE4124"/>
    <w:rsid w:val="1FB72CFE"/>
    <w:rsid w:val="20DA1C49"/>
    <w:rsid w:val="218D448F"/>
    <w:rsid w:val="225A0BD0"/>
    <w:rsid w:val="23282412"/>
    <w:rsid w:val="23487548"/>
    <w:rsid w:val="23663602"/>
    <w:rsid w:val="244A4D1A"/>
    <w:rsid w:val="250B3569"/>
    <w:rsid w:val="251B3144"/>
    <w:rsid w:val="272119F9"/>
    <w:rsid w:val="28371DB1"/>
    <w:rsid w:val="287E6610"/>
    <w:rsid w:val="2953409A"/>
    <w:rsid w:val="2A236EC9"/>
    <w:rsid w:val="2BB551EE"/>
    <w:rsid w:val="2BD275A8"/>
    <w:rsid w:val="2BE9306B"/>
    <w:rsid w:val="2CFE703A"/>
    <w:rsid w:val="2DC85839"/>
    <w:rsid w:val="2F5F0993"/>
    <w:rsid w:val="2FB2753E"/>
    <w:rsid w:val="31A87A7E"/>
    <w:rsid w:val="32FF5066"/>
    <w:rsid w:val="33467961"/>
    <w:rsid w:val="33951EF8"/>
    <w:rsid w:val="33A87050"/>
    <w:rsid w:val="35CD57AB"/>
    <w:rsid w:val="368C11C2"/>
    <w:rsid w:val="36D11494"/>
    <w:rsid w:val="372A4DA2"/>
    <w:rsid w:val="37A61E10"/>
    <w:rsid w:val="37C11E6D"/>
    <w:rsid w:val="37DF5DCA"/>
    <w:rsid w:val="389B1E4B"/>
    <w:rsid w:val="3A512B83"/>
    <w:rsid w:val="3A5A41C7"/>
    <w:rsid w:val="3B8401B7"/>
    <w:rsid w:val="3B950463"/>
    <w:rsid w:val="3CD812EC"/>
    <w:rsid w:val="3EE020AB"/>
    <w:rsid w:val="3EF57B16"/>
    <w:rsid w:val="3FBD419A"/>
    <w:rsid w:val="3FC6325B"/>
    <w:rsid w:val="405D3607"/>
    <w:rsid w:val="408056CC"/>
    <w:rsid w:val="40F941D4"/>
    <w:rsid w:val="411047FE"/>
    <w:rsid w:val="433A4D8B"/>
    <w:rsid w:val="44E81CBA"/>
    <w:rsid w:val="452B1BA6"/>
    <w:rsid w:val="45B013CE"/>
    <w:rsid w:val="45BC29E4"/>
    <w:rsid w:val="474C706C"/>
    <w:rsid w:val="476E7826"/>
    <w:rsid w:val="483078B1"/>
    <w:rsid w:val="49B605D8"/>
    <w:rsid w:val="4B531A99"/>
    <w:rsid w:val="4B5E24C0"/>
    <w:rsid w:val="4B5F3E24"/>
    <w:rsid w:val="4BBD05CA"/>
    <w:rsid w:val="4C084015"/>
    <w:rsid w:val="4DBF37D4"/>
    <w:rsid w:val="4E5E2FEC"/>
    <w:rsid w:val="4EBE6CA9"/>
    <w:rsid w:val="4EDF6AD0"/>
    <w:rsid w:val="512F1E8E"/>
    <w:rsid w:val="525160E8"/>
    <w:rsid w:val="52C6483F"/>
    <w:rsid w:val="533868D3"/>
    <w:rsid w:val="55390B1F"/>
    <w:rsid w:val="55BA31FE"/>
    <w:rsid w:val="55F840E4"/>
    <w:rsid w:val="56B83869"/>
    <w:rsid w:val="57CD692F"/>
    <w:rsid w:val="582013FA"/>
    <w:rsid w:val="59111888"/>
    <w:rsid w:val="592A1CB1"/>
    <w:rsid w:val="593218C8"/>
    <w:rsid w:val="5AB17EEE"/>
    <w:rsid w:val="5C7F7614"/>
    <w:rsid w:val="621E4B15"/>
    <w:rsid w:val="622C6994"/>
    <w:rsid w:val="635E05C3"/>
    <w:rsid w:val="63A22868"/>
    <w:rsid w:val="64550596"/>
    <w:rsid w:val="65362BDA"/>
    <w:rsid w:val="662C0E7A"/>
    <w:rsid w:val="679E26D1"/>
    <w:rsid w:val="6909193C"/>
    <w:rsid w:val="69362AEB"/>
    <w:rsid w:val="6A936A12"/>
    <w:rsid w:val="6BA936A1"/>
    <w:rsid w:val="6C9D0D2C"/>
    <w:rsid w:val="6E07479B"/>
    <w:rsid w:val="6E7C206E"/>
    <w:rsid w:val="702D13B0"/>
    <w:rsid w:val="72423857"/>
    <w:rsid w:val="72621BC6"/>
    <w:rsid w:val="72804262"/>
    <w:rsid w:val="73464322"/>
    <w:rsid w:val="739449B2"/>
    <w:rsid w:val="740A56DE"/>
    <w:rsid w:val="74E92D60"/>
    <w:rsid w:val="756F4945"/>
    <w:rsid w:val="759F4F8A"/>
    <w:rsid w:val="76122D0D"/>
    <w:rsid w:val="768A2321"/>
    <w:rsid w:val="789A780E"/>
    <w:rsid w:val="791C33D6"/>
    <w:rsid w:val="7A1E40DA"/>
    <w:rsid w:val="7A9B68AB"/>
    <w:rsid w:val="7B3E6877"/>
    <w:rsid w:val="7B6E5C1B"/>
    <w:rsid w:val="7CB646F0"/>
    <w:rsid w:val="7CC63C30"/>
    <w:rsid w:val="7D154C4F"/>
    <w:rsid w:val="7DA61DA6"/>
    <w:rsid w:val="7E665C2C"/>
    <w:rsid w:val="7E765277"/>
    <w:rsid w:val="7EFB200E"/>
    <w:rsid w:val="7F813251"/>
    <w:rsid w:val="7FAE23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200" w:firstLineChars="200"/>
      <w:jc w:val="both"/>
    </w:pPr>
    <w:rPr>
      <w:rFonts w:eastAsia="仿宋" w:asciiTheme="minorHAnsi" w:hAnsiTheme="minorHAnsi" w:cstheme="minorBidi"/>
      <w:kern w:val="2"/>
      <w:sz w:val="28"/>
      <w:szCs w:val="24"/>
      <w:lang w:val="en-US" w:eastAsia="zh-CN" w:bidi="ar-SA"/>
    </w:rPr>
  </w:style>
  <w:style w:type="paragraph" w:styleId="3">
    <w:name w:val="heading 1"/>
    <w:basedOn w:val="1"/>
    <w:next w:val="1"/>
    <w:link w:val="16"/>
    <w:qFormat/>
    <w:uiPriority w:val="0"/>
    <w:pPr>
      <w:keepNext/>
      <w:keepLines/>
      <w:spacing w:before="240" w:after="120" w:line="576" w:lineRule="auto"/>
      <w:outlineLvl w:val="0"/>
    </w:pPr>
    <w:rPr>
      <w:rFonts w:eastAsia="黑体"/>
      <w:kern w:val="44"/>
      <w:sz w:val="36"/>
    </w:rPr>
  </w:style>
  <w:style w:type="paragraph" w:styleId="4">
    <w:name w:val="heading 2"/>
    <w:basedOn w:val="1"/>
    <w:next w:val="1"/>
    <w:link w:val="17"/>
    <w:unhideWhenUsed/>
    <w:qFormat/>
    <w:uiPriority w:val="0"/>
    <w:pPr>
      <w:keepNext/>
      <w:keepLines/>
      <w:spacing w:before="120" w:after="120" w:line="413" w:lineRule="auto"/>
      <w:outlineLvl w:val="1"/>
    </w:pPr>
    <w:rPr>
      <w:rFonts w:ascii="Arial" w:hAnsi="Arial" w:eastAsia="楷体"/>
      <w:b/>
      <w:sz w:val="32"/>
    </w:rPr>
  </w:style>
  <w:style w:type="paragraph" w:styleId="5">
    <w:name w:val="heading 3"/>
    <w:basedOn w:val="1"/>
    <w:next w:val="1"/>
    <w:link w:val="18"/>
    <w:unhideWhenUsed/>
    <w:qFormat/>
    <w:uiPriority w:val="9"/>
    <w:pPr>
      <w:keepNext/>
      <w:keepLines/>
      <w:spacing w:before="120" w:after="120"/>
      <w:outlineLvl w:val="2"/>
    </w:pPr>
    <w:rPr>
      <w:b/>
      <w:bCs/>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99"/>
    <w:pPr>
      <w:ind w:firstLine="420"/>
    </w:pPr>
  </w:style>
  <w:style w:type="paragraph" w:styleId="6">
    <w:name w:val="toc 3"/>
    <w:basedOn w:val="1"/>
    <w:next w:val="1"/>
    <w:unhideWhenUsed/>
    <w:qFormat/>
    <w:uiPriority w:val="39"/>
    <w:pPr>
      <w:ind w:left="840" w:leftChars="400"/>
    </w:pPr>
  </w:style>
  <w:style w:type="paragraph" w:styleId="7">
    <w:name w:val="Balloon Text"/>
    <w:basedOn w:val="1"/>
    <w:link w:val="20"/>
    <w:semiHidden/>
    <w:unhideWhenUsed/>
    <w:qFormat/>
    <w:uiPriority w:val="99"/>
    <w:pPr>
      <w:spacing w:line="240" w:lineRule="auto"/>
    </w:pPr>
    <w:rPr>
      <w:sz w:val="18"/>
      <w:szCs w:val="18"/>
    </w:rPr>
  </w:style>
  <w:style w:type="paragraph" w:styleId="8">
    <w:name w:val="footer"/>
    <w:basedOn w:val="1"/>
    <w:link w:val="23"/>
    <w:unhideWhenUsed/>
    <w:qFormat/>
    <w:uiPriority w:val="99"/>
    <w:pPr>
      <w:tabs>
        <w:tab w:val="center" w:pos="4153"/>
        <w:tab w:val="right" w:pos="8306"/>
      </w:tabs>
      <w:snapToGrid w:val="0"/>
      <w:spacing w:line="240" w:lineRule="auto"/>
      <w:jc w:val="left"/>
    </w:pPr>
    <w:rPr>
      <w:sz w:val="18"/>
      <w:szCs w:val="18"/>
    </w:rPr>
  </w:style>
  <w:style w:type="paragraph" w:styleId="9">
    <w:name w:val="header"/>
    <w:basedOn w:val="1"/>
    <w:link w:val="22"/>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10">
    <w:name w:val="toc 1"/>
    <w:basedOn w:val="1"/>
    <w:next w:val="1"/>
    <w:unhideWhenUsed/>
    <w:qFormat/>
    <w:uiPriority w:val="39"/>
  </w:style>
  <w:style w:type="paragraph" w:styleId="11">
    <w:name w:val="toc 2"/>
    <w:basedOn w:val="1"/>
    <w:next w:val="1"/>
    <w:unhideWhenUsed/>
    <w:qFormat/>
    <w:uiPriority w:val="39"/>
    <w:pPr>
      <w:ind w:left="420" w:leftChars="200"/>
    </w:pPr>
  </w:style>
  <w:style w:type="table" w:styleId="13">
    <w:name w:val="Table Grid"/>
    <w:basedOn w:val="1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Hyperlink"/>
    <w:basedOn w:val="14"/>
    <w:unhideWhenUsed/>
    <w:qFormat/>
    <w:uiPriority w:val="99"/>
    <w:rPr>
      <w:color w:val="0000FF" w:themeColor="hyperlink"/>
      <w:u w:val="single"/>
      <w14:textFill>
        <w14:solidFill>
          <w14:schemeClr w14:val="hlink"/>
        </w14:solidFill>
      </w14:textFill>
    </w:rPr>
  </w:style>
  <w:style w:type="character" w:customStyle="1" w:styleId="16">
    <w:name w:val="标题 1 Char"/>
    <w:basedOn w:val="14"/>
    <w:link w:val="3"/>
    <w:qFormat/>
    <w:uiPriority w:val="0"/>
    <w:rPr>
      <w:rFonts w:eastAsia="黑体"/>
      <w:kern w:val="44"/>
      <w:sz w:val="36"/>
      <w:szCs w:val="24"/>
    </w:rPr>
  </w:style>
  <w:style w:type="character" w:customStyle="1" w:styleId="17">
    <w:name w:val="标题 2 Char"/>
    <w:basedOn w:val="14"/>
    <w:link w:val="4"/>
    <w:qFormat/>
    <w:uiPriority w:val="0"/>
    <w:rPr>
      <w:rFonts w:ascii="Arial" w:hAnsi="Arial" w:eastAsia="楷体"/>
      <w:b/>
      <w:sz w:val="32"/>
      <w:szCs w:val="24"/>
    </w:rPr>
  </w:style>
  <w:style w:type="character" w:customStyle="1" w:styleId="18">
    <w:name w:val="标题 3 Char"/>
    <w:basedOn w:val="14"/>
    <w:link w:val="5"/>
    <w:qFormat/>
    <w:uiPriority w:val="9"/>
    <w:rPr>
      <w:rFonts w:eastAsia="仿宋"/>
      <w:b/>
      <w:bCs/>
      <w:sz w:val="28"/>
      <w:szCs w:val="32"/>
    </w:rPr>
  </w:style>
  <w:style w:type="paragraph" w:customStyle="1" w:styleId="19">
    <w:name w:val="TOC 标题1"/>
    <w:basedOn w:val="3"/>
    <w:next w:val="1"/>
    <w:semiHidden/>
    <w:unhideWhenUsed/>
    <w:qFormat/>
    <w:uiPriority w:val="39"/>
    <w:pPr>
      <w:widowControl/>
      <w:spacing w:before="480" w:after="0" w:line="276" w:lineRule="auto"/>
      <w:ind w:firstLine="0" w:firstLineChars="0"/>
      <w:jc w:val="left"/>
      <w:outlineLvl w:val="9"/>
    </w:pPr>
    <w:rPr>
      <w:rFonts w:asciiTheme="majorHAnsi" w:hAnsiTheme="majorHAnsi" w:eastAsiaTheme="majorEastAsia" w:cstheme="majorBidi"/>
      <w:b/>
      <w:bCs/>
      <w:color w:val="376092" w:themeColor="accent1" w:themeShade="BF"/>
      <w:kern w:val="0"/>
      <w:sz w:val="28"/>
      <w:szCs w:val="28"/>
    </w:rPr>
  </w:style>
  <w:style w:type="character" w:customStyle="1" w:styleId="20">
    <w:name w:val="批注框文本 Char"/>
    <w:basedOn w:val="14"/>
    <w:link w:val="7"/>
    <w:semiHidden/>
    <w:qFormat/>
    <w:uiPriority w:val="99"/>
    <w:rPr>
      <w:rFonts w:eastAsia="仿宋"/>
      <w:sz w:val="18"/>
      <w:szCs w:val="18"/>
    </w:rPr>
  </w:style>
  <w:style w:type="character" w:styleId="21">
    <w:name w:val="Placeholder Text"/>
    <w:basedOn w:val="14"/>
    <w:semiHidden/>
    <w:qFormat/>
    <w:uiPriority w:val="99"/>
    <w:rPr>
      <w:color w:val="808080"/>
    </w:rPr>
  </w:style>
  <w:style w:type="character" w:customStyle="1" w:styleId="22">
    <w:name w:val="页眉 Char"/>
    <w:basedOn w:val="14"/>
    <w:link w:val="9"/>
    <w:qFormat/>
    <w:uiPriority w:val="99"/>
    <w:rPr>
      <w:rFonts w:eastAsia="仿宋" w:asciiTheme="minorHAnsi" w:hAnsiTheme="minorHAnsi" w:cstheme="minorBidi"/>
      <w:kern w:val="2"/>
      <w:sz w:val="18"/>
      <w:szCs w:val="18"/>
    </w:rPr>
  </w:style>
  <w:style w:type="character" w:customStyle="1" w:styleId="23">
    <w:name w:val="页脚 Char"/>
    <w:basedOn w:val="14"/>
    <w:link w:val="8"/>
    <w:qFormat/>
    <w:uiPriority w:val="99"/>
    <w:rPr>
      <w:rFonts w:eastAsia="仿宋" w:asciiTheme="minorHAnsi" w:hAnsiTheme="minorHAnsi"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1" Type="http://schemas.openxmlformats.org/officeDocument/2006/relationships/fontTable" Target="fontTable.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7.png"/><Relationship Id="rId18" Type="http://schemas.openxmlformats.org/officeDocument/2006/relationships/image" Target="media/image6.png"/><Relationship Id="rId17" Type="http://schemas.openxmlformats.org/officeDocument/2006/relationships/image" Target="media/image5.png"/><Relationship Id="rId16" Type="http://schemas.openxmlformats.org/officeDocument/2006/relationships/image" Target="media/image4.png"/><Relationship Id="rId15" Type="http://schemas.openxmlformats.org/officeDocument/2006/relationships/image" Target="media/image3.png"/><Relationship Id="rId14" Type="http://schemas.openxmlformats.org/officeDocument/2006/relationships/image" Target="media/image2.png"/><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9D2EB5-D5F6-4D94-A773-C568AD47F1B7}">
  <ds:schemaRefs/>
</ds:datastoreItem>
</file>

<file path=docProps/app.xml><?xml version="1.0" encoding="utf-8"?>
<Properties xmlns="http://schemas.openxmlformats.org/officeDocument/2006/extended-properties" xmlns:vt="http://schemas.openxmlformats.org/officeDocument/2006/docPropsVTypes">
  <Template>Normal.dotm</Template>
  <Pages>26</Pages>
  <Words>7056</Words>
  <Characters>8773</Characters>
  <Lines>121</Lines>
  <Paragraphs>34</Paragraphs>
  <TotalTime>90</TotalTime>
  <ScaleCrop>false</ScaleCrop>
  <LinksUpToDate>false</LinksUpToDate>
  <CharactersWithSpaces>9025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2022-11-14T00:21:00Z</dcterms:created>
  <dc:creator>董冲</dc:creator>
  <cp:lastModifiedBy>无心</cp:lastModifiedBy>
  <cp:lastPrinted>2022-11-13T09:30:00Z</cp:lastPrinted>
  <dcterms:modified xsi:type="dcterms:W3CDTF">2023-02-02T02:57:23Z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FA60AA9483A045F3BD1C77D8E4801FF9</vt:lpwstr>
  </property>
</Properties>
</file>